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33" w:rsidRDefault="00C9783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97833" w:rsidRDefault="00C97833">
      <w:pPr>
        <w:pStyle w:val="ConsPlusNormal"/>
        <w:jc w:val="both"/>
        <w:outlineLvl w:val="0"/>
      </w:pPr>
    </w:p>
    <w:p w:rsidR="00C97833" w:rsidRDefault="00C97833">
      <w:pPr>
        <w:pStyle w:val="ConsPlusNormal"/>
        <w:outlineLvl w:val="0"/>
      </w:pPr>
      <w:r>
        <w:t>Зарегистрировано в Минюсте России 21 июля 2025 г. N 82996</w:t>
      </w:r>
    </w:p>
    <w:p w:rsidR="00C97833" w:rsidRDefault="00C978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C97833" w:rsidRDefault="00C97833">
      <w:pPr>
        <w:pStyle w:val="ConsPlusTitle"/>
        <w:jc w:val="center"/>
      </w:pPr>
    </w:p>
    <w:p w:rsidR="00C97833" w:rsidRDefault="00C97833">
      <w:pPr>
        <w:pStyle w:val="ConsPlusTitle"/>
        <w:jc w:val="center"/>
      </w:pPr>
      <w:r>
        <w:t>ПРИКАЗ</w:t>
      </w:r>
    </w:p>
    <w:p w:rsidR="00C97833" w:rsidRDefault="00C97833">
      <w:pPr>
        <w:pStyle w:val="ConsPlusTitle"/>
        <w:jc w:val="center"/>
      </w:pPr>
      <w:r>
        <w:t>от 26 июня 2025 г. N 424</w:t>
      </w:r>
    </w:p>
    <w:p w:rsidR="00C97833" w:rsidRDefault="00C97833">
      <w:pPr>
        <w:pStyle w:val="ConsPlusTitle"/>
        <w:jc w:val="center"/>
      </w:pPr>
    </w:p>
    <w:p w:rsidR="00C97833" w:rsidRDefault="00C97833">
      <w:pPr>
        <w:pStyle w:val="ConsPlusTitle"/>
        <w:jc w:val="center"/>
      </w:pPr>
      <w:r>
        <w:t>ОБ УТВЕРЖДЕНИИ ФОРМЫ</w:t>
      </w:r>
    </w:p>
    <w:p w:rsidR="00C97833" w:rsidRDefault="00C97833">
      <w:pPr>
        <w:pStyle w:val="ConsPlusTitle"/>
        <w:jc w:val="center"/>
      </w:pPr>
      <w:r>
        <w:t>КОНКУРСНОЙ ЗАЯВКИ МУНИЦИПАЛЬНОГО ОБРАЗОВАНИЯ, ПРЕДСТАВЛЯЕМОЙ</w:t>
      </w:r>
    </w:p>
    <w:p w:rsidR="00C97833" w:rsidRDefault="00C97833">
      <w:pPr>
        <w:pStyle w:val="ConsPlusTitle"/>
        <w:jc w:val="center"/>
      </w:pPr>
      <w:r>
        <w:t>ДЛЯ УЧАСТИЯ ВО ВСЕРОССИЙСКОМ КОНКУРСЕ "ЛУЧШАЯ МУНИЦИПАЛЬНАЯ</w:t>
      </w:r>
    </w:p>
    <w:p w:rsidR="00C97833" w:rsidRDefault="00C97833">
      <w:pPr>
        <w:pStyle w:val="ConsPlusTitle"/>
        <w:jc w:val="center"/>
      </w:pPr>
      <w:r>
        <w:t>ПРАКТИКА" ПО НОМИНАЦИИ "ПОВЫШЕНИЕ ЭФФЕКТИВНОСТИ УПРАВЛЕНИЯ</w:t>
      </w:r>
    </w:p>
    <w:p w:rsidR="00C97833" w:rsidRDefault="00C97833">
      <w:pPr>
        <w:pStyle w:val="ConsPlusTitle"/>
        <w:jc w:val="center"/>
      </w:pPr>
      <w:r>
        <w:t>ТЕРРИТОРИЕЙ МУНИЦИПАЛЬНОГО ОБРАЗОВАНИЯ", И МЕТОДИКИ ОЦЕНКИ</w:t>
      </w:r>
    </w:p>
    <w:p w:rsidR="00C97833" w:rsidRDefault="00C97833">
      <w:pPr>
        <w:pStyle w:val="ConsPlusTitle"/>
        <w:jc w:val="center"/>
      </w:pPr>
      <w:r>
        <w:t>КОНКУРСНЫХ ЗАЯВОК МУНИЦИПАЛЬНЫХ ОБРАЗОВАНИЙ, ПРЕДСТАВЛЯЕМЫХ</w:t>
      </w:r>
    </w:p>
    <w:p w:rsidR="00C97833" w:rsidRDefault="00C97833">
      <w:pPr>
        <w:pStyle w:val="ConsPlusTitle"/>
        <w:jc w:val="center"/>
      </w:pPr>
      <w:r>
        <w:t>ДЛЯ УЧАСТИЯ ВО ВСЕРОССИЙСКОМ КОНКУРСЕ "ЛУЧШАЯ МУНИЦИПАЛЬНАЯ</w:t>
      </w:r>
    </w:p>
    <w:p w:rsidR="00C97833" w:rsidRDefault="00C97833">
      <w:pPr>
        <w:pStyle w:val="ConsPlusTitle"/>
        <w:jc w:val="center"/>
      </w:pPr>
      <w:r>
        <w:t>ПРАКТИКА" ПО НОМИНАЦИИ "ПОВЫШЕНИЕ ЭФФЕКТИВНОСТИ УПРАВЛЕНИЯ</w:t>
      </w:r>
    </w:p>
    <w:p w:rsidR="00C97833" w:rsidRDefault="00C97833">
      <w:pPr>
        <w:pStyle w:val="ConsPlusTitle"/>
        <w:jc w:val="center"/>
      </w:pPr>
      <w:r>
        <w:t>ТЕРРИТОРИЕЙ МУНИЦИПАЛЬНОГО ОБРАЗОВАНИЯ"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"б" пункта 9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815, и </w:t>
      </w:r>
      <w:hyperlink r:id="rId6">
        <w:r>
          <w:rPr>
            <w:color w:val="0000FF"/>
          </w:rPr>
          <w:t>абзацем первым пункта 1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437, приказываю: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C97833" w:rsidRDefault="00C97833">
      <w:pPr>
        <w:pStyle w:val="ConsPlusNormal"/>
        <w:spacing w:before="220"/>
        <w:ind w:firstLine="540"/>
        <w:jc w:val="both"/>
      </w:pPr>
      <w:hyperlink w:anchor="P38">
        <w:r>
          <w:rPr>
            <w:color w:val="0000FF"/>
          </w:rPr>
          <w:t>форму</w:t>
        </w:r>
      </w:hyperlink>
      <w:r>
        <w:t xml:space="preserve"> конкурсной заявки муниципального образования, представляемой для участия во Всероссийском конкурсе "Лучшая муниципальная практика" по номинации "Повышение эффективности управления территорией муниципального образования", согласно приложению N 1 к настоящему приказу;</w:t>
      </w:r>
    </w:p>
    <w:p w:rsidR="00C97833" w:rsidRDefault="00C97833">
      <w:pPr>
        <w:pStyle w:val="ConsPlusNormal"/>
        <w:spacing w:before="220"/>
        <w:ind w:firstLine="540"/>
        <w:jc w:val="both"/>
      </w:pPr>
      <w:hyperlink w:anchor="P670">
        <w:r>
          <w:rPr>
            <w:color w:val="0000FF"/>
          </w:rPr>
          <w:t>методику</w:t>
        </w:r>
      </w:hyperlink>
      <w:r>
        <w:t xml:space="preserve">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"Повышение эффективности управления территорией муниципального образования", согласно приложению N 2 к настоящему приказу.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Минэкономразвития России от 20 июля 2020 г. N 435 "Об утверждении формы конкурсной заявки муниципальных образований, представляемой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финансами",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"муниципальная экономическая политика и управление муниципальными финансами" (зарегистрирован Минюстом России 20 августа 2020 г., регистрационный N 59344).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right"/>
      </w:pPr>
      <w:r>
        <w:t>Министр</w:t>
      </w:r>
    </w:p>
    <w:p w:rsidR="00C97833" w:rsidRDefault="00C97833">
      <w:pPr>
        <w:pStyle w:val="ConsPlusNormal"/>
        <w:jc w:val="right"/>
      </w:pPr>
      <w:r>
        <w:t>М.Г.РЕШЕТНИКОВ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right"/>
        <w:outlineLvl w:val="0"/>
      </w:pPr>
      <w:r>
        <w:lastRenderedPageBreak/>
        <w:t>Приложение N 1</w:t>
      </w:r>
    </w:p>
    <w:p w:rsidR="00C97833" w:rsidRDefault="00C97833">
      <w:pPr>
        <w:pStyle w:val="ConsPlusNormal"/>
        <w:jc w:val="right"/>
      </w:pPr>
      <w:r>
        <w:t>к приказу Минэкономразвития России</w:t>
      </w:r>
    </w:p>
    <w:p w:rsidR="00C97833" w:rsidRDefault="00C97833">
      <w:pPr>
        <w:pStyle w:val="ConsPlusNormal"/>
        <w:jc w:val="right"/>
      </w:pPr>
      <w:r>
        <w:t>от 26.06.2025 N 424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right"/>
      </w:pPr>
      <w:r>
        <w:t>форма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nformat"/>
        <w:jc w:val="both"/>
      </w:pPr>
      <w:bookmarkStart w:id="0" w:name="P38"/>
      <w:bookmarkEnd w:id="0"/>
      <w:r>
        <w:t xml:space="preserve">                             КОНКУРСНАЯ ЗАЯВКА</w:t>
      </w:r>
    </w:p>
    <w:p w:rsidR="00C97833" w:rsidRDefault="00C97833">
      <w:pPr>
        <w:pStyle w:val="ConsPlusNonformat"/>
        <w:jc w:val="both"/>
      </w:pPr>
      <w:r>
        <w:t xml:space="preserve">                        МУНИЦИПАЛЬНОГО ОБРАЗОВАНИЯ,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 xml:space="preserve">           представляемая для участия во Всероссийском конкурсе</w:t>
      </w:r>
    </w:p>
    <w:p w:rsidR="00C97833" w:rsidRDefault="00C97833">
      <w:pPr>
        <w:pStyle w:val="ConsPlusNonformat"/>
        <w:jc w:val="both"/>
      </w:pPr>
      <w:r>
        <w:t xml:space="preserve">          "Лучшая муниципальная практика" по номинации "Повышение</w:t>
      </w:r>
    </w:p>
    <w:p w:rsidR="00C97833" w:rsidRDefault="00C97833">
      <w:pPr>
        <w:pStyle w:val="ConsPlusNonformat"/>
        <w:jc w:val="both"/>
      </w:pPr>
      <w:r>
        <w:t xml:space="preserve">                   эффективности управления территорией</w:t>
      </w:r>
    </w:p>
    <w:p w:rsidR="00C97833" w:rsidRDefault="00C97833">
      <w:pPr>
        <w:pStyle w:val="ConsPlusNonformat"/>
        <w:jc w:val="both"/>
      </w:pPr>
      <w:r>
        <w:t xml:space="preserve">                        муниципального образования"</w:t>
      </w: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       (наименование муниципального образования)</w:t>
      </w: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               (наименование номинации)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 xml:space="preserve">    Прошу    организовать    рассмотрение   настоящей   конкурсной   заявки</w:t>
      </w:r>
    </w:p>
    <w:p w:rsidR="00C97833" w:rsidRDefault="00C97833">
      <w:pPr>
        <w:pStyle w:val="ConsPlusNonformat"/>
        <w:jc w:val="both"/>
      </w:pPr>
      <w:r>
        <w:t>муниципального  образования,  представляемой  для  участия во Всероссийском</w:t>
      </w:r>
    </w:p>
    <w:p w:rsidR="00C97833" w:rsidRDefault="00C97833">
      <w:pPr>
        <w:pStyle w:val="ConsPlusNonformat"/>
        <w:jc w:val="both"/>
      </w:pPr>
      <w:r>
        <w:t>конкурсе   "Лучшая   муниципальная   практика"   по   номинации  "Повышение</w:t>
      </w:r>
    </w:p>
    <w:p w:rsidR="00C97833" w:rsidRDefault="00C97833">
      <w:pPr>
        <w:pStyle w:val="ConsPlusNonformat"/>
        <w:jc w:val="both"/>
      </w:pPr>
      <w:r>
        <w:t>эффективности  управления  территорией муниципального образования" (далее -</w:t>
      </w:r>
    </w:p>
    <w:p w:rsidR="00C97833" w:rsidRDefault="00C97833">
      <w:pPr>
        <w:pStyle w:val="ConsPlusNonformat"/>
        <w:jc w:val="both"/>
      </w:pPr>
      <w:r>
        <w:t>конкурсная заявка и конкурс соответственно).</w:t>
      </w:r>
    </w:p>
    <w:p w:rsidR="00C97833" w:rsidRDefault="00C97833">
      <w:pPr>
        <w:pStyle w:val="ConsPlusNonformat"/>
        <w:jc w:val="both"/>
      </w:pPr>
      <w:r>
        <w:t xml:space="preserve">    С  условиями  и  требованиями конкурса, предусмотренного </w:t>
      </w:r>
      <w:hyperlink r:id="rId8">
        <w:r>
          <w:rPr>
            <w:color w:val="0000FF"/>
          </w:rPr>
          <w:t>постановлением</w:t>
        </w:r>
      </w:hyperlink>
    </w:p>
    <w:p w:rsidR="00C97833" w:rsidRDefault="00C97833">
      <w:pPr>
        <w:pStyle w:val="ConsPlusNonformat"/>
        <w:jc w:val="both"/>
      </w:pPr>
      <w:r>
        <w:t>Правительства   Российской   Федерации  от  18  августа  2016  г.  N 815 "О</w:t>
      </w:r>
    </w:p>
    <w:p w:rsidR="00C97833" w:rsidRDefault="00C97833">
      <w:pPr>
        <w:pStyle w:val="ConsPlusNonformat"/>
        <w:jc w:val="both"/>
      </w:pPr>
      <w:r>
        <w:t>Всероссийском   конкурсе  "Лучшая  муниципальная  практика",  ознакомлен  и</w:t>
      </w:r>
    </w:p>
    <w:p w:rsidR="00C97833" w:rsidRDefault="00C97833">
      <w:pPr>
        <w:pStyle w:val="ConsPlusNonformat"/>
        <w:jc w:val="both"/>
      </w:pPr>
      <w:r>
        <w:t>согласен.</w:t>
      </w:r>
    </w:p>
    <w:p w:rsidR="00C97833" w:rsidRDefault="00C97833">
      <w:pPr>
        <w:pStyle w:val="ConsPlusNonformat"/>
        <w:jc w:val="both"/>
      </w:pPr>
      <w:r>
        <w:t xml:space="preserve">    По вопросам участия прошу взаимодействовать с</w:t>
      </w: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(фамилия, имя и отчество (при наличии), должность лица (при наличии),</w:t>
      </w:r>
    </w:p>
    <w:p w:rsidR="00C97833" w:rsidRDefault="00C97833">
      <w:pPr>
        <w:pStyle w:val="ConsPlusNonformat"/>
        <w:jc w:val="both"/>
      </w:pPr>
      <w:r>
        <w:t xml:space="preserve">          номер телефона и адрес электронной почты (при наличии)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 xml:space="preserve"> Описание практики муниципального образования (далее - описание практики)</w:t>
      </w:r>
    </w:p>
    <w:p w:rsidR="00C97833" w:rsidRDefault="00C978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288"/>
        <w:gridCol w:w="5246"/>
      </w:tblGrid>
      <w:tr w:rsidR="00C97833">
        <w:tc>
          <w:tcPr>
            <w:tcW w:w="510" w:type="dxa"/>
          </w:tcPr>
          <w:p w:rsidR="00C97833" w:rsidRDefault="00C978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</w:tcPr>
          <w:p w:rsidR="00C97833" w:rsidRDefault="00C97833">
            <w:pPr>
              <w:pStyle w:val="ConsPlusNormal"/>
              <w:jc w:val="center"/>
            </w:pPr>
            <w:r>
              <w:t>Признаки элемента практики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  <w:jc w:val="center"/>
            </w:pPr>
            <w:r>
              <w:t>Содержание</w:t>
            </w:r>
          </w:p>
        </w:tc>
      </w:tr>
      <w:tr w:rsidR="00C97833">
        <w:tc>
          <w:tcPr>
            <w:tcW w:w="510" w:type="dxa"/>
            <w:vMerge w:val="restart"/>
            <w:vAlign w:val="center"/>
          </w:tcPr>
          <w:p w:rsidR="00C97833" w:rsidRDefault="00C978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  <w:vMerge w:val="restart"/>
            <w:vAlign w:val="center"/>
          </w:tcPr>
          <w:p w:rsidR="00C97833" w:rsidRDefault="00C97833">
            <w:pPr>
              <w:pStyle w:val="ConsPlusNormal"/>
            </w:pPr>
            <w:r>
              <w:t>Наименование практики, направленной на повышение эффективности управления территорией муниципального образования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51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3288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5246" w:type="dxa"/>
          </w:tcPr>
          <w:p w:rsidR="00C97833" w:rsidRDefault="00C97833">
            <w:pPr>
              <w:pStyle w:val="ConsPlusNormal"/>
              <w:jc w:val="center"/>
            </w:pPr>
            <w:r>
              <w:t>(присваивается муниципальным образованием самостоятельно с кратким отражением реализуемой практики)</w:t>
            </w:r>
          </w:p>
        </w:tc>
      </w:tr>
      <w:tr w:rsidR="00C97833">
        <w:tc>
          <w:tcPr>
            <w:tcW w:w="510" w:type="dxa"/>
            <w:vMerge w:val="restart"/>
            <w:vAlign w:val="center"/>
          </w:tcPr>
          <w:p w:rsidR="00C97833" w:rsidRDefault="00C97833">
            <w:pPr>
              <w:pStyle w:val="ConsPlusNormal"/>
              <w:jc w:val="center"/>
            </w:pPr>
            <w:bookmarkStart w:id="1" w:name="P75"/>
            <w:bookmarkEnd w:id="1"/>
            <w:r>
              <w:t>2</w:t>
            </w:r>
          </w:p>
        </w:tc>
        <w:tc>
          <w:tcPr>
            <w:tcW w:w="3288" w:type="dxa"/>
            <w:vMerge w:val="restart"/>
            <w:vAlign w:val="center"/>
          </w:tcPr>
          <w:p w:rsidR="00C97833" w:rsidRDefault="00C97833">
            <w:pPr>
              <w:pStyle w:val="ConsPlusNormal"/>
            </w:pPr>
            <w:r>
              <w:t>Направления практики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51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3288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5246" w:type="dxa"/>
          </w:tcPr>
          <w:p w:rsidR="00C97833" w:rsidRDefault="00C97833">
            <w:pPr>
              <w:pStyle w:val="ConsPlusNormal"/>
              <w:jc w:val="center"/>
            </w:pPr>
            <w:r>
              <w:t>(осуществляется выбор не менее двух следующих направлений практики: "Инвестиции", "Управление имуществом и инфраструктурой", "Новые источники доходов бюджета и управление муниципальными заимствованиями")</w:t>
            </w:r>
          </w:p>
        </w:tc>
      </w:tr>
      <w:tr w:rsidR="00C97833">
        <w:tc>
          <w:tcPr>
            <w:tcW w:w="510" w:type="dxa"/>
            <w:vMerge w:val="restart"/>
            <w:vAlign w:val="center"/>
          </w:tcPr>
          <w:p w:rsidR="00C97833" w:rsidRDefault="00C978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  <w:vMerge w:val="restart"/>
            <w:vAlign w:val="center"/>
          </w:tcPr>
          <w:p w:rsidR="00C97833" w:rsidRDefault="00C97833">
            <w:pPr>
              <w:pStyle w:val="ConsPlusNormal"/>
            </w:pPr>
            <w:r>
              <w:t>Описание механизмов, составляющих управленческую практику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51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3288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5246" w:type="dxa"/>
          </w:tcPr>
          <w:p w:rsidR="00C97833" w:rsidRDefault="00C97833">
            <w:pPr>
              <w:pStyle w:val="ConsPlusNormal"/>
              <w:jc w:val="center"/>
            </w:pPr>
            <w:r>
              <w:t>(краткое описание механизмов, применяемых при реализации практики)</w:t>
            </w:r>
          </w:p>
        </w:tc>
      </w:tr>
      <w:tr w:rsidR="00C97833">
        <w:tc>
          <w:tcPr>
            <w:tcW w:w="510" w:type="dxa"/>
            <w:vMerge w:val="restart"/>
            <w:vAlign w:val="center"/>
          </w:tcPr>
          <w:p w:rsidR="00C97833" w:rsidRDefault="00C978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88" w:type="dxa"/>
            <w:vMerge w:val="restart"/>
            <w:vAlign w:val="center"/>
          </w:tcPr>
          <w:p w:rsidR="00C97833" w:rsidRDefault="00C97833">
            <w:pPr>
              <w:pStyle w:val="ConsPlusNormal"/>
            </w:pPr>
            <w:r>
              <w:t xml:space="preserve">Результаты реализации </w:t>
            </w:r>
            <w:r>
              <w:lastRenderedPageBreak/>
              <w:t>описываемых практик, которые подтверждаются соответствующими значениями показателей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51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3288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5246" w:type="dxa"/>
          </w:tcPr>
          <w:p w:rsidR="00C97833" w:rsidRDefault="00C97833">
            <w:pPr>
              <w:pStyle w:val="ConsPlusNormal"/>
              <w:jc w:val="center"/>
            </w:pPr>
            <w:r>
              <w:t>(краткое описание достигнутых результатов при реализации практики, включая цифровые значения)</w:t>
            </w:r>
          </w:p>
        </w:tc>
      </w:tr>
      <w:tr w:rsidR="00C97833">
        <w:tc>
          <w:tcPr>
            <w:tcW w:w="510" w:type="dxa"/>
            <w:vAlign w:val="center"/>
          </w:tcPr>
          <w:p w:rsidR="00C97833" w:rsidRDefault="00C9783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288" w:type="dxa"/>
            <w:vAlign w:val="center"/>
          </w:tcPr>
          <w:p w:rsidR="00C97833" w:rsidRDefault="00C97833">
            <w:pPr>
              <w:pStyle w:val="ConsPlusNormal"/>
            </w:pPr>
            <w:r>
              <w:t>Презентационные материалы (не более 7 слайдов)</w:t>
            </w:r>
          </w:p>
        </w:tc>
        <w:tc>
          <w:tcPr>
            <w:tcW w:w="5246" w:type="dxa"/>
          </w:tcPr>
          <w:p w:rsidR="00C97833" w:rsidRDefault="00C97833">
            <w:pPr>
              <w:pStyle w:val="ConsPlusNormal"/>
            </w:pPr>
            <w:r>
              <w:t>Прикладываются в качестве приложения к настоящей конкурсной заявке.</w:t>
            </w:r>
          </w:p>
        </w:tc>
      </w:tr>
    </w:tbl>
    <w:p w:rsidR="00C97833" w:rsidRDefault="00C97833">
      <w:pPr>
        <w:pStyle w:val="ConsPlusNormal"/>
        <w:jc w:val="both"/>
      </w:pPr>
    </w:p>
    <w:p w:rsidR="00C97833" w:rsidRDefault="00C97833">
      <w:pPr>
        <w:pStyle w:val="ConsPlusNonformat"/>
        <w:jc w:val="both"/>
      </w:pPr>
      <w:r>
        <w:t xml:space="preserve">    Показатели, характеризующие деятельность муниципального образования</w:t>
      </w:r>
    </w:p>
    <w:p w:rsidR="00C97833" w:rsidRDefault="00C978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6236"/>
        <w:gridCol w:w="1020"/>
        <w:gridCol w:w="1077"/>
      </w:tblGrid>
      <w:tr w:rsidR="00C97833">
        <w:tc>
          <w:tcPr>
            <w:tcW w:w="737" w:type="dxa"/>
          </w:tcPr>
          <w:p w:rsidR="00C97833" w:rsidRDefault="00C978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C97833" w:rsidRDefault="00C978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center"/>
            </w:pPr>
            <w:r>
              <w:t>Исходные данные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C97833">
        <w:tc>
          <w:tcPr>
            <w:tcW w:w="9070" w:type="dxa"/>
            <w:gridSpan w:val="4"/>
          </w:tcPr>
          <w:p w:rsidR="00C97833" w:rsidRDefault="00C97833">
            <w:pPr>
              <w:pStyle w:val="ConsPlusNormal"/>
              <w:jc w:val="center"/>
              <w:outlineLvl w:val="2"/>
            </w:pPr>
            <w:bookmarkStart w:id="2" w:name="P97"/>
            <w:bookmarkEnd w:id="2"/>
            <w:r>
              <w:t>Раздел 1. Показатели, характеризующие социально-экономическую ситуацию в муниципальном образовании</w:t>
            </w: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" w:name="P98"/>
            <w:bookmarkEnd w:id="3"/>
            <w:r>
              <w:t>1.1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численности постоянного населения муниципального образования за три последних отчетных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447415" cy="3352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11i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in-1;</w:t>
            </w:r>
            <w:r>
              <w:t xml:space="preserve">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численность постоянного населения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" w:name="P109"/>
            <w:bookmarkEnd w:id="4"/>
            <w:r>
              <w:t>1.2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объема инвестиций в основной капитал (за исключением бюджетных средств) на территории муниципального образования в расчете на 1 жителя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in-1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in-2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in-3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B</w:t>
            </w:r>
            <w:r w:rsidRPr="00C97833">
              <w:rPr>
                <w:vertAlign w:val="subscript"/>
                <w:lang w:val="en-US"/>
              </w:rPr>
              <w:t>in</w:t>
            </w:r>
            <w:r w:rsidRPr="00C97833">
              <w:rPr>
                <w:lang w:val="en-US"/>
              </w:rP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36"/>
              </w:rPr>
              <w:drawing>
                <wp:inline distT="0" distB="0" distL="0" distR="0">
                  <wp:extent cx="3881120" cy="59817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12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12i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in-1;</w:t>
            </w:r>
            <w:r>
              <w:t xml:space="preserve">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объем инвестиций в основной капитал (за исключением бюджетных средств) на территории i-го муниципального образования соответственно в ____ г., ____ г., ____ г. и ____ г.;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in</w:t>
            </w:r>
            <w:r>
              <w:t>, B</w:t>
            </w:r>
            <w:r>
              <w:rPr>
                <w:vertAlign w:val="subscript"/>
              </w:rPr>
              <w:t>in-1</w:t>
            </w:r>
            <w:r>
              <w:t>, B</w:t>
            </w:r>
            <w:r>
              <w:rPr>
                <w:vertAlign w:val="subscript"/>
              </w:rPr>
              <w:t>in-2</w:t>
            </w:r>
            <w:r>
              <w:t>, B</w:t>
            </w:r>
            <w:r>
              <w:rPr>
                <w:vertAlign w:val="subscript"/>
              </w:rPr>
              <w:t>in-3</w:t>
            </w:r>
            <w:r>
              <w:t xml:space="preserve"> - численность постоянного населения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" w:name="P125"/>
            <w:bookmarkEnd w:id="5"/>
            <w:r>
              <w:t>1.3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Средний темп роста оборота розничной торговли на </w:t>
            </w:r>
            <w:r>
              <w:lastRenderedPageBreak/>
              <w:t>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lastRenderedPageBreak/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lastRenderedPageBreak/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447415" cy="33528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13i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оборот розничной торговли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6" w:name="P136"/>
            <w:bookmarkEnd w:id="6"/>
            <w:r>
              <w:t>1.4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среднемесячной заработной платы работников организаций на территории муниципального образования за три последних отчетных финансовых года, скорректированный на стоимость жизни,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in-1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in-2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in-3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rPr>
                <w:lang w:val="en-US"/>
              </w:rPr>
            </w:pPr>
            <w:r w:rsidRPr="00C97833">
              <w:rPr>
                <w:lang w:val="en-US"/>
              </w:rPr>
              <w:t>B</w:t>
            </w:r>
            <w:r w:rsidRPr="00C97833">
              <w:rPr>
                <w:vertAlign w:val="subscript"/>
                <w:lang w:val="en-US"/>
              </w:rPr>
              <w:t>in</w:t>
            </w:r>
            <w:r w:rsidRPr="00C97833">
              <w:rPr>
                <w:lang w:val="en-US"/>
              </w:rP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36"/>
              </w:rPr>
              <w:drawing>
                <wp:inline distT="0" distB="0" distL="0" distR="0">
                  <wp:extent cx="3881120" cy="59817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12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14i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in-1;</w:t>
            </w:r>
            <w:r>
              <w:t xml:space="preserve">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среднемесячная заработная плата работников организаций на территории i-го муниципального образования соответственно в ____ г., ____ г., ____ г. и ____ г.;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in</w:t>
            </w:r>
            <w:r>
              <w:t>, B</w:t>
            </w:r>
            <w:r>
              <w:rPr>
                <w:vertAlign w:val="subscript"/>
              </w:rPr>
              <w:t>in-1</w:t>
            </w:r>
            <w:r>
              <w:t>, B</w:t>
            </w:r>
            <w:r>
              <w:rPr>
                <w:vertAlign w:val="subscript"/>
              </w:rPr>
              <w:t>in-2</w:t>
            </w:r>
            <w:r>
              <w:t>, B</w:t>
            </w:r>
            <w:r>
              <w:rPr>
                <w:vertAlign w:val="subscript"/>
              </w:rPr>
              <w:t>in-3</w:t>
            </w:r>
            <w:r>
              <w:t xml:space="preserve"> - прожиточный минимум в субъекте Российской Федерации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7" w:name="P152"/>
            <w:bookmarkEnd w:id="7"/>
            <w:r>
              <w:t>1.5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налоговой базы по налогу на доходы физических лиц на 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447415" cy="33528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15i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in-1;</w:t>
            </w:r>
            <w:r>
              <w:t xml:space="preserve">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налоговая база по налогу на доходы физических лиц, подлежащая налогообложению по всем налоговым ставкам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8" w:name="P163"/>
            <w:bookmarkEnd w:id="8"/>
            <w:r>
              <w:t>1.6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Отношение числа граждан, занятых в экономике муниципального образования, к численности населения муниципального образования в трудоспособном возрасте за отчетный финансовый год (мужчины 16 - 65 лет, женщины 16 - </w:t>
            </w:r>
            <w:r>
              <w:lastRenderedPageBreak/>
              <w:t>60 лет),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lastRenderedPageBreak/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16i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16i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число граждан, занятых в экономике муниципального образования;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численность населения муниципального образования в трудоспособном возрасте (мужчины 16 - 65 лет, женщины 16 - 60 лет).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9" w:name="P173"/>
            <w:bookmarkEnd w:id="9"/>
            <w:r>
              <w:t>1.7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Рост среднегодовой численности занятых в экономике за отчетный год по сравнению с уровнем года, предшествующего отчетному (источник: Росстат),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17i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17i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среднегодовая численность занятых в экономике за отчетный год;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среднегодовая численность занятых в экономике за предыдущий год.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0" w:name="P183"/>
            <w:bookmarkEnd w:id="10"/>
            <w:r>
              <w:t>1.8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Коэффициент напряженности на рынке труда на 1 января года подачи конкурсной заявки,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18i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18i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число незанятых граждан, зарегистрированных в службах занятости;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вакантные рабочие места.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9070" w:type="dxa"/>
            <w:gridSpan w:val="4"/>
          </w:tcPr>
          <w:p w:rsidR="00C97833" w:rsidRDefault="00C97833">
            <w:pPr>
              <w:pStyle w:val="ConsPlusNormal"/>
              <w:jc w:val="center"/>
              <w:outlineLvl w:val="2"/>
            </w:pPr>
            <w:bookmarkStart w:id="11" w:name="P193"/>
            <w:bookmarkEnd w:id="11"/>
            <w:r>
              <w:t>Раздел 2. Показатели, характеризующие управление муниципальными финансами</w:t>
            </w: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2" w:name="P194"/>
            <w:bookmarkEnd w:id="12"/>
            <w:r>
              <w:t>2.1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налоговых доходов бюджета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468370" cy="33528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37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21j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in-1;</w:t>
            </w:r>
            <w:r>
              <w:t xml:space="preserve">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объем налоговых доходов бюджета i-го муниципального образования, поступивших по единым нормативам отчислений, установленным Бюджетным </w:t>
            </w:r>
            <w:hyperlink r:id="rId15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3" w:name="P205"/>
            <w:bookmarkEnd w:id="13"/>
            <w:r>
              <w:lastRenderedPageBreak/>
              <w:t>2.2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налоговых и неналоговых доходов бюджета муниципального образования (за исключением поступлений налоговых доходов по дополнительным нормативам отчислений) от общего объема собственных доходов бюджета муниципального образования в отчетном финансовом году,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22i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22i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налоговых и неналоговых доходов местного бюджета (за исключением поступлений налоговых доходов по дополнительным нормативам отчислений)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общий объем собственных доходов местного бюджета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4" w:name="P215"/>
            <w:bookmarkEnd w:id="14"/>
            <w:r>
              <w:t>2.3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Отношение объема просроченной кредиторской задолженности бюджета муниципального образования и муниципальных казенных учреждений к объему расходов бюджета муниципального образования,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23i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23i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просроченной кредиторской задолженности местного бюджета и муниципальных казенных учреждений i-го муниципального образования на 1 января текущего финансового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расходов бюджета i-го муниципального образования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5" w:name="P225"/>
            <w:bookmarkEnd w:id="15"/>
            <w:r>
              <w:t>2.4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Отношение объема субсидий, предоставляемых из бюджета муниципального образования социально ориентированным некоммерческим организациям, к общему объему расходов бюджета муниципального образования,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24i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24i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субсидий, предоставленных из бюджета i-го муниципального образования социально ориентированным некоммерческим организациям, не являющимся муниципальными учреждениями, на реализацию муниципальных услуг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расходов местного бюджета i-го муниципального образования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6" w:name="P235"/>
            <w:bookmarkEnd w:id="16"/>
            <w:r>
              <w:lastRenderedPageBreak/>
              <w:t>2.5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Отношение объема расходных обязательств муниципального образования, не связанных с решением вопросов местного значения и исполнением полномочий по указанным вопросам, к объему расходных обязательств по вопросам местного значения (согласно информации из реестра расходных обязательств муниципального образования, предусмотренного </w:t>
            </w:r>
            <w:hyperlink r:id="rId16">
              <w:r>
                <w:rPr>
                  <w:color w:val="0000FF"/>
                </w:rPr>
                <w:t>статьей 87</w:t>
              </w:r>
            </w:hyperlink>
            <w:r>
              <w:t xml:space="preserve"> Бюджетного кодекса Российской Федерации),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25i</w:t>
            </w:r>
            <w:r>
              <w:t xml:space="preserve"> = (A</w:t>
            </w:r>
            <w:r>
              <w:rPr>
                <w:vertAlign w:val="subscript"/>
              </w:rPr>
              <w:t>i</w:t>
            </w:r>
            <w:r>
              <w:t xml:space="preserve"> - B</w:t>
            </w:r>
            <w:r>
              <w:rPr>
                <w:vertAlign w:val="subscript"/>
              </w:rPr>
              <w:t>i</w:t>
            </w:r>
            <w:r>
              <w:t>) / A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25i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расходных обязательств муниципального образования, связанных с решением вопросов местного значения и полномочий i-го муниципального образования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расходных обязательств и полномочий, не связанных с решением вопросов местного значения i-го муниципального образования в отчетном финансовом году (без учета объема расходных обязательств, осуществляемых за счет субвенций).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7" w:name="P245"/>
            <w:bookmarkEnd w:id="17"/>
            <w:r>
              <w:t>2.6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Отношение недополученных доходов по местным налогам в результате действия налоговых льгот, установленных представительным органом местного самоуправления муниципального образования в соответствии с Налоговым </w:t>
            </w:r>
            <w:hyperlink r:id="rId17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к общему объему поступлений по местным налогам,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26i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26i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недополученных доходов по местным налогам в результате действия налоговых льгот, установленных представительными органами местного самоуправления i-го муниципального образования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общий объем доходов от поступлений по местным налогам в i-м муниципальном образовании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8" w:name="P255"/>
            <w:bookmarkEnd w:id="18"/>
            <w:r>
              <w:t>2.7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Исполнение бюджета муниципального образования по расходам относительно первоначально утвержденного бюджета (за исключением расходов за счет межбюджетных трансфертов),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27i</w:t>
            </w:r>
            <w:r>
              <w:t xml:space="preserve"> = |A</w:t>
            </w:r>
            <w:r>
              <w:rPr>
                <w:vertAlign w:val="subscript"/>
              </w:rPr>
              <w:t>i</w:t>
            </w:r>
            <w:r>
              <w:t xml:space="preserve"> - B</w:t>
            </w:r>
            <w:r>
              <w:rPr>
                <w:vertAlign w:val="subscript"/>
              </w:rPr>
              <w:t>i</w:t>
            </w:r>
            <w:r>
              <w:t>|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27i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фактический объем расходов бюджета i-го </w:t>
            </w:r>
            <w:r>
              <w:lastRenderedPageBreak/>
              <w:t>муниципального образования (за исключением расходов за счет межбюджетных трансфертов)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первоначально утвержденный решением о бюджете i-го муниципального образования объем расходов местного бюджета (за исключением расходов за счет межбюджетных трансфертов) за отчетный финансовый год.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19" w:name="P265"/>
            <w:bookmarkEnd w:id="19"/>
            <w:r>
              <w:lastRenderedPageBreak/>
              <w:t>2.8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сотрудников, имеющих высшее образование, в фактической штатной численности финансового органа муниципального образования,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28i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28i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численность в отчетном финансовом году сотрудников, имеющих высшее образование, финансового органа i-го муниципального образования;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штатная численность финансового органа i-го муниципального образования на 1 января текущего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0" w:name="P275"/>
            <w:bookmarkEnd w:id="20"/>
            <w:r>
              <w:t>2.9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сотрудников, имеющих ученую степень, в штатной численности финансового органа муниципального образования,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29i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29j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численность в отчетном финансовом году сотрудников, имеющих ученую степень, финансового органа i-го муниципального образования;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фактическая на 1 января текущего года штатная численность финансового органа i-го муниципального образования.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1" w:name="P285"/>
            <w:bookmarkEnd w:id="21"/>
            <w:r>
              <w:t>2.10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сотрудников, работающих в финансовом органе муниципального образования более 3 лет,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210i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210i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количество сотрудников финансового органа, работающих в финансовом органе более 3 лет, на 1 января текущего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фактическая штатная численность финансового органа i-го муниципального образования.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9070" w:type="dxa"/>
            <w:gridSpan w:val="4"/>
            <w:vAlign w:val="center"/>
          </w:tcPr>
          <w:p w:rsidR="00C97833" w:rsidRDefault="00C97833">
            <w:pPr>
              <w:pStyle w:val="ConsPlusNormal"/>
              <w:jc w:val="center"/>
              <w:outlineLvl w:val="2"/>
            </w:pPr>
            <w:bookmarkStart w:id="22" w:name="P295"/>
            <w:bookmarkEnd w:id="22"/>
            <w:r>
              <w:t>Раздел 3. Показатели, характеризующие выбранное направление практики</w:t>
            </w:r>
          </w:p>
        </w:tc>
      </w:tr>
      <w:tr w:rsidR="00C97833">
        <w:tc>
          <w:tcPr>
            <w:tcW w:w="9070" w:type="dxa"/>
            <w:gridSpan w:val="4"/>
            <w:vAlign w:val="center"/>
          </w:tcPr>
          <w:p w:rsidR="00C97833" w:rsidRDefault="00C97833">
            <w:pPr>
              <w:pStyle w:val="ConsPlusNormal"/>
              <w:jc w:val="center"/>
              <w:outlineLvl w:val="3"/>
            </w:pPr>
            <w:bookmarkStart w:id="23" w:name="P296"/>
            <w:bookmarkEnd w:id="23"/>
            <w:r>
              <w:lastRenderedPageBreak/>
              <w:t>Подраздел 3.1. Показатели, характеризующие направление практики "Инвестиции"</w:t>
            </w:r>
          </w:p>
          <w:p w:rsidR="00C97833" w:rsidRDefault="00C97833">
            <w:pPr>
              <w:pStyle w:val="ConsPlusNormal"/>
              <w:jc w:val="center"/>
            </w:pPr>
            <w:r>
              <w:t xml:space="preserve">(раздел заполняется при выборе направления практики "Инвестиции", описанного в </w:t>
            </w:r>
            <w:hyperlink w:anchor="P75">
              <w:r>
                <w:rPr>
                  <w:color w:val="0000FF"/>
                </w:rPr>
                <w:t>пункте 2</w:t>
              </w:r>
            </w:hyperlink>
            <w:r>
              <w:t xml:space="preserve"> описания практики)</w:t>
            </w: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4" w:name="P298"/>
            <w:bookmarkEnd w:id="24"/>
            <w:r>
              <w:t>3.1.1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числа субъектов малого и среднего предпринимательства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311i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число субъектов МСП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5" w:name="P309"/>
            <w:bookmarkEnd w:id="25"/>
            <w:r>
              <w:t>3.1.2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численности работников субъекта малого и среднего предпринимательства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312i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численность работников субъекта малого и среднего предпринимательства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6" w:name="P320"/>
            <w:bookmarkEnd w:id="26"/>
            <w:r>
              <w:t>3.1.3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Рост оборота малых и средних предприятий за отчетный год по сравнению с уровнем года, предшествующего отчетному,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313i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313i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оборот малых и средних предприятий за отчетный год;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оборот малых и средних предприятий за год, предшествующий году подачи конкурсной заявки.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7" w:name="P330"/>
            <w:bookmarkEnd w:id="27"/>
            <w:r>
              <w:t>3.1.4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суммы налога, подлежащего уплате в связи с применением упрощенной системы налогообложения, на 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314i</w:t>
            </w:r>
            <w:r>
              <w:t xml:space="preserve"> - значение соответствующего показателя в i-м </w:t>
            </w:r>
            <w:r>
              <w:lastRenderedPageBreak/>
              <w:t>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сумма налога, подлежащего уплате в связи с применением упрощенной системы налогообложения,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8" w:name="P341"/>
            <w:bookmarkEnd w:id="28"/>
            <w:r>
              <w:lastRenderedPageBreak/>
              <w:t>3.1.5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количества индивидуальных предпринимателей, применяющих патентную систему налогообложения на 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315i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количество индивидуальных предпринимателей, применяющих патентную систему налогообложения на территории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 w:rsidRP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29" w:name="P352"/>
            <w:bookmarkEnd w:id="29"/>
            <w:r>
              <w:t>3.1.6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Степень внедрения муниципального инвестиционного стандарта, рассчитываемая по формуле (показатель рассчитывается только для практик муниципальных образований I категории):</w:t>
            </w:r>
          </w:p>
        </w:tc>
        <w:tc>
          <w:tcPr>
            <w:tcW w:w="1020" w:type="dxa"/>
            <w:vMerge w:val="restart"/>
          </w:tcPr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B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C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D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E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F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G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H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I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J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3881120" cy="42291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12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316i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наличие на официальном сайте муниципального образования в информационно-телекоммуникационной сети "Интернет" информации по работе с представителями бизнес-сообщества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наличие инвестиционного профиля/паспорта муниципального образования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C</w:t>
            </w:r>
            <w:r>
              <w:rPr>
                <w:vertAlign w:val="subscript"/>
              </w:rPr>
              <w:t>i</w:t>
            </w:r>
            <w:r>
              <w:t xml:space="preserve"> - наличие инвестиционного уполномоченного муниципального образования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D</w:t>
            </w:r>
            <w:r>
              <w:rPr>
                <w:vertAlign w:val="subscript"/>
              </w:rPr>
              <w:t>i</w:t>
            </w:r>
            <w:r>
              <w:t xml:space="preserve"> - наличие совещательного органа при главе администрации муниципального образования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E</w:t>
            </w:r>
            <w:r>
              <w:rPr>
                <w:vertAlign w:val="subscript"/>
              </w:rPr>
              <w:t>i</w:t>
            </w:r>
            <w:r>
              <w:t xml:space="preserve"> - наличие в документе стратегического планирования муниципального образования раздела, содержащего информацию о реализации инвестиционных проектов и создании необходимой для инвесторов инфраструктуры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lastRenderedPageBreak/>
              <w:t>F</w:t>
            </w:r>
            <w:r>
              <w:rPr>
                <w:vertAlign w:val="subscript"/>
              </w:rPr>
              <w:t>i</w:t>
            </w:r>
            <w:r>
              <w:t xml:space="preserve"> - наличие в муниципальном образовании регламента сопровождения инвестиционных проектов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G</w:t>
            </w:r>
            <w:r>
              <w:rPr>
                <w:vertAlign w:val="subscript"/>
              </w:rPr>
              <w:t>i</w:t>
            </w:r>
            <w:r>
              <w:t xml:space="preserve"> - наличие утвержденных ключевых показателей эффективности деятельности главы местной администрации и инвестиционного уполномоченного муниципального образования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H</w:t>
            </w:r>
            <w:r>
              <w:rPr>
                <w:vertAlign w:val="subscript"/>
              </w:rPr>
              <w:t>i</w:t>
            </w:r>
            <w:r>
              <w:t xml:space="preserve"> - наличие механизма "обратной связи" между инвесторами и администрацией, в том числе ежеквартальные встречи с представителями бизнес-сообщества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I</w:t>
            </w:r>
            <w:r>
              <w:rPr>
                <w:vertAlign w:val="subscript"/>
              </w:rPr>
              <w:t>i</w:t>
            </w:r>
            <w:r>
              <w:t xml:space="preserve"> - регулярное прохождение профессиональной переподготовки и повышения квалификации для содействия в реализации инвестиционных проектов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J</w:t>
            </w:r>
            <w:r>
              <w:rPr>
                <w:vertAlign w:val="subscript"/>
              </w:rPr>
              <w:t>i</w:t>
            </w:r>
            <w:r>
              <w:t xml:space="preserve"> - наличие соглашения с агентствами развития субъекта Российской Федерации (при положительном ответе - 1, при отрицательном ответе - 0).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 w:rsidRP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0" w:name="P378"/>
            <w:bookmarkEnd w:id="30"/>
            <w:r>
              <w:lastRenderedPageBreak/>
              <w:t>3.1.7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Уровень развития муниципально-частного партнерства в муниципальном образовании:</w:t>
            </w:r>
          </w:p>
        </w:tc>
        <w:tc>
          <w:tcPr>
            <w:tcW w:w="1020" w:type="dxa"/>
            <w:vMerge w:val="restart"/>
          </w:tcPr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A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B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C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D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  <w:p w:rsidR="00C97833" w:rsidRPr="00C97833" w:rsidRDefault="00C97833">
            <w:pPr>
              <w:pStyle w:val="ConsPlusNormal"/>
              <w:jc w:val="both"/>
              <w:rPr>
                <w:lang w:val="en-US"/>
              </w:rPr>
            </w:pPr>
            <w:r w:rsidRPr="00C97833">
              <w:rPr>
                <w:lang w:val="en-US"/>
              </w:rPr>
              <w:t>E</w:t>
            </w:r>
            <w:r w:rsidRPr="00C97833">
              <w:rPr>
                <w:vertAlign w:val="subscript"/>
                <w:lang w:val="en-US"/>
              </w:rPr>
              <w:t>i</w:t>
            </w:r>
            <w:r w:rsidRPr="00C97833">
              <w:rPr>
                <w:lang w:val="en-US"/>
              </w:rP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Pr="00C97833" w:rsidRDefault="00C97833">
            <w:pPr>
              <w:pStyle w:val="ConsPlusNormal"/>
              <w:rPr>
                <w:lang w:val="en-US"/>
              </w:rPr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2504440" cy="46101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317i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наличие в открытом доступе перечня объектов в муниципальном образовании, в отношении которых планируется заключение соглашений муниципально-частного партнерства, концессионных соглашений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наличие льготных условий (налоговые льготы, иные меры поддержки частных партнеров) (при положительном ответе - 1, при отрицательном ответе - 0);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C</w:t>
            </w:r>
            <w:r>
              <w:rPr>
                <w:vertAlign w:val="subscript"/>
              </w:rPr>
              <w:t>i</w:t>
            </w:r>
            <w:r>
              <w:t xml:space="preserve"> - стадия реализации проекта муниципально-частного партнерства;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D</w:t>
            </w:r>
            <w:r>
              <w:rPr>
                <w:vertAlign w:val="subscript"/>
              </w:rPr>
              <w:t>i</w:t>
            </w:r>
            <w:r>
              <w:t xml:space="preserve"> - доля частных инвестиций в общей стоимости проекта муниципально-частного партнерства в процентах, оценка выставляется путем деления значения в процентах на 100;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E</w:t>
            </w:r>
            <w:r>
              <w:rPr>
                <w:vertAlign w:val="subscript"/>
              </w:rPr>
              <w:t>i</w:t>
            </w:r>
            <w:r>
              <w:t xml:space="preserve"> - срок реализации проекта муниципально-частного партнерства (срок действия концессионного соглашения).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9070" w:type="dxa"/>
            <w:gridSpan w:val="4"/>
          </w:tcPr>
          <w:p w:rsidR="00C97833" w:rsidRDefault="00C97833">
            <w:pPr>
              <w:pStyle w:val="ConsPlusNormal"/>
              <w:jc w:val="center"/>
              <w:outlineLvl w:val="3"/>
            </w:pPr>
            <w:bookmarkStart w:id="31" w:name="P394"/>
            <w:bookmarkEnd w:id="31"/>
            <w:r>
              <w:t>Подраздел 3.2. Показатели, характеризующие направление практики "Управление имуществом и инфраструктурой"</w:t>
            </w:r>
          </w:p>
          <w:p w:rsidR="00C97833" w:rsidRDefault="00C97833">
            <w:pPr>
              <w:pStyle w:val="ConsPlusNormal"/>
              <w:jc w:val="center"/>
            </w:pPr>
            <w:r>
              <w:t xml:space="preserve">(раздел заполняется при выборе направления практики "Управление имуществом и инфраструктурой" в </w:t>
            </w:r>
            <w:hyperlink w:anchor="P75">
              <w:r>
                <w:rPr>
                  <w:color w:val="0000FF"/>
                </w:rPr>
                <w:t>пункте 2</w:t>
              </w:r>
            </w:hyperlink>
            <w:r>
              <w:t xml:space="preserve"> описания практики)</w:t>
            </w: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2" w:name="P396"/>
            <w:bookmarkEnd w:id="32"/>
            <w:r>
              <w:t>3.2.1</w:t>
            </w:r>
          </w:p>
        </w:tc>
        <w:tc>
          <w:tcPr>
            <w:tcW w:w="6236" w:type="dxa"/>
            <w:vMerge w:val="restart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Наличие размещенного в Федеральной государственной информационной системе территориального планирования </w:t>
            </w:r>
            <w:r>
              <w:lastRenderedPageBreak/>
              <w:t xml:space="preserve">(далее - ФГИС ТП) </w:t>
            </w:r>
            <w:hyperlink w:anchor="P658">
              <w:r>
                <w:rPr>
                  <w:color w:val="0000FF"/>
                </w:rPr>
                <w:t>&lt;1&gt;</w:t>
              </w:r>
            </w:hyperlink>
            <w:r>
              <w:t xml:space="preserve"> документа территориального планирования муниципального образования, соответствующего законодательству о градостроительной деятельности, с учетом периодичности обновления (не реже 1 раза в 5 лет)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lastRenderedPageBreak/>
              <w:t>да/нет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Реквизит</w:t>
            </w:r>
            <w:r>
              <w:lastRenderedPageBreak/>
              <w:t>ы нормативного правового акта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Ссылка на ФГИС ТП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3" w:name="P404"/>
            <w:bookmarkEnd w:id="33"/>
            <w:r>
              <w:t>3.2.2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налоговой базы по налогу на имущество организаций на 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322i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налоговая база по налогу на имущество организаций i-го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4" w:name="P415"/>
            <w:bookmarkEnd w:id="34"/>
            <w:r>
              <w:t>3.2.3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Сокращение доли площадей неиспользованного муниципального имущества за отчетный год по сравнению с уровнем года, предшествующего отчетному,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323i</w:t>
            </w:r>
            <w:r>
              <w:t xml:space="preserve"> = A</w:t>
            </w:r>
            <w:r>
              <w:rPr>
                <w:vertAlign w:val="subscript"/>
              </w:rPr>
              <w:t>in</w:t>
            </w:r>
            <w:r>
              <w:t xml:space="preserve"> / A</w:t>
            </w:r>
            <w:r>
              <w:rPr>
                <w:vertAlign w:val="subscript"/>
              </w:rPr>
              <w:t>in-1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323i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- площадь неиспользуемого муниципального имущества за отчетный год;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- площадь неиспользуемого муниципального имущества за год, предшествующий отчетному.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5" w:name="P425"/>
            <w:bookmarkEnd w:id="35"/>
            <w:r>
              <w:t>3.2.4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Средний темп роста внебюджетных инвестиций в сфере жилищно-коммунального хозяйства (ЖКХ) (в части сферы ЖКХ применимы </w:t>
            </w:r>
            <w:hyperlink r:id="rId25">
              <w:r>
                <w:rPr>
                  <w:color w:val="0000FF"/>
                </w:rPr>
                <w:t>разделы D</w:t>
              </w:r>
            </w:hyperlink>
            <w:r>
              <w:t xml:space="preserve"> и </w:t>
            </w:r>
            <w:hyperlink r:id="rId26">
              <w:r>
                <w:rPr>
                  <w:color w:val="0000FF"/>
                </w:rPr>
                <w:t>E</w:t>
              </w:r>
            </w:hyperlink>
            <w:r>
              <w:t xml:space="preserve"> Общероссийского классификатора видов экономической деятельности (далее - ОКВЭД),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324i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суммарный объем инвестиций (за исключением бюджетных средств) по </w:t>
            </w:r>
            <w:hyperlink r:id="rId28">
              <w:r>
                <w:rPr>
                  <w:color w:val="0000FF"/>
                </w:rPr>
                <w:t>разделам D</w:t>
              </w:r>
            </w:hyperlink>
            <w:r>
              <w:t xml:space="preserve"> и </w:t>
            </w:r>
            <w:hyperlink r:id="rId29">
              <w:r>
                <w:rPr>
                  <w:color w:val="0000FF"/>
                </w:rPr>
                <w:t>E</w:t>
              </w:r>
            </w:hyperlink>
            <w:r>
              <w:t xml:space="preserve"> ОКВЭД), рассчитываемый по формуле соответственно в ____ г., ____ г., </w:t>
            </w:r>
            <w:r>
              <w:lastRenderedPageBreak/>
              <w:t>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6" w:name="P436"/>
            <w:bookmarkEnd w:id="36"/>
            <w:r>
              <w:lastRenderedPageBreak/>
              <w:t>3.2.5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аварийного муниципального имущества от общей площади муниципального имущества,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325i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325i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площадь аварийного муниципального имущества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площадь муниципального имущества.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7" w:name="P446"/>
            <w:bookmarkEnd w:id="37"/>
            <w:r>
              <w:t>3.2.6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налоговой базы по земельному налогу на территории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326i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кадастровая стоимость земельных участков, в отношении которых исчислен земельный налог к уплате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8" w:name="P457"/>
            <w:bookmarkEnd w:id="38"/>
            <w:r>
              <w:t>3.2.7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Количество востребованных лучших практик повышения производительности труда в муниципальных организациях сфер культуры, образования, социального обеспечения, спорта и здравоохранения, размещенных на ИТ-платформе управленческих и технологических компетенций (производительность.рф) </w:t>
            </w:r>
            <w:hyperlink w:anchor="P659">
              <w:r>
                <w:rPr>
                  <w:color w:val="0000FF"/>
                </w:rPr>
                <w:t>&lt;2&gt;</w:t>
              </w:r>
            </w:hyperlink>
            <w:r>
              <w:t xml:space="preserve"> (далее - ИТ-платформа производительность.рф) (предоставляется с 2026 года),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1i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...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ni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27"/>
              </w:rPr>
              <w:drawing>
                <wp:inline distT="0" distB="0" distL="0" distR="0">
                  <wp:extent cx="974725" cy="49276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327i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n - общее число практик, размещенных муниципальным образованием на ИТ-платформе производительность.рф;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1i</w:t>
            </w:r>
            <w:r>
              <w:t>-A</w:t>
            </w:r>
            <w:r>
              <w:rPr>
                <w:vertAlign w:val="subscript"/>
              </w:rPr>
              <w:t>nI</w:t>
            </w:r>
            <w:r>
              <w:t xml:space="preserve"> - число внедрений каждой из размещенных практик в других муниципальных образованиях.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39" w:name="P468"/>
            <w:bookmarkEnd w:id="39"/>
            <w:r>
              <w:t>3.2.8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 xml:space="preserve">Доля массовых социально значимых государственных и муниципальных услуг, доступных в электронном виде, предоставляемых с использованием Единого портала государственных и муниципальных услуг (функций) </w:t>
            </w:r>
            <w:hyperlink w:anchor="P660">
              <w:r>
                <w:rPr>
                  <w:color w:val="0000FF"/>
                </w:rPr>
                <w:t>&lt;3&gt;</w:t>
              </w:r>
            </w:hyperlink>
            <w:r>
              <w:t xml:space="preserve">, в общем количестве таких услуг, предоставляемых в электронном </w:t>
            </w:r>
            <w:r>
              <w:lastRenderedPageBreak/>
              <w:t>виде,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lastRenderedPageBreak/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328i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328i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число массовых социально значимых государственных и муниципальных услуг, доступных в электронном виде;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общее число услуг, предоставляемых в электронном виде.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0" w:name="P478"/>
            <w:bookmarkEnd w:id="40"/>
            <w:r>
              <w:t>3.2.9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(функций) без необходимости личного посещения органов государственной власти, органов местного самоуправления и многофункциональных центров предоставления государственных и муниципальных услуг в общем количестве таких услуг,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329i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329i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число обращений за получением массовых социально значимых государственных и муниципальных услуг в электронном виде;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суммарное число обращений за получением массовых социально значимых государственных и муниципальных услуг.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</w:tcPr>
          <w:p w:rsidR="00C97833" w:rsidRDefault="00C97833">
            <w:pPr>
              <w:pStyle w:val="ConsPlusNormal"/>
              <w:jc w:val="center"/>
            </w:pPr>
            <w:bookmarkStart w:id="41" w:name="P488"/>
            <w:bookmarkEnd w:id="41"/>
            <w:r>
              <w:t>3.2.10</w:t>
            </w:r>
          </w:p>
        </w:tc>
        <w:tc>
          <w:tcPr>
            <w:tcW w:w="6236" w:type="dxa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Возможность подачи обращения по проблеме на территории муниципального образования в электронном виде с приложением фото и видео (при положительном ответе - 1, при отрицательном ответе - 0).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да/нет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</w:tcPr>
          <w:p w:rsidR="00C97833" w:rsidRDefault="00C97833">
            <w:pPr>
              <w:pStyle w:val="ConsPlusNormal"/>
              <w:jc w:val="center"/>
            </w:pPr>
            <w:bookmarkStart w:id="42" w:name="P492"/>
            <w:bookmarkEnd w:id="42"/>
            <w:r>
              <w:t>3.2.11</w:t>
            </w:r>
          </w:p>
        </w:tc>
        <w:tc>
          <w:tcPr>
            <w:tcW w:w="6236" w:type="dxa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Наличие функционирующей базы знаний решений управленческих и рабочих задач в администрации муниципального образования (при положительном ответе - 1, при отрицательном ответе - 0).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да/нет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</w:tcPr>
          <w:p w:rsidR="00C97833" w:rsidRDefault="00C97833">
            <w:pPr>
              <w:pStyle w:val="ConsPlusNormal"/>
              <w:jc w:val="center"/>
            </w:pPr>
            <w:bookmarkStart w:id="43" w:name="P496"/>
            <w:bookmarkEnd w:id="43"/>
            <w:r>
              <w:t>3.2.12</w:t>
            </w:r>
          </w:p>
        </w:tc>
        <w:tc>
          <w:tcPr>
            <w:tcW w:w="6236" w:type="dxa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Наличие в администрации муниципального образования электронной среды взаимодействия, выполняющей один из следующих функционалов: организационное проектирование, планирование и контроль задач, внутренняя коммуникация, совместная работа над документами, справочник организационных документов (при положительном ответе - 1, при отрицательном ответе - 0).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да/нет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9070" w:type="dxa"/>
            <w:gridSpan w:val="4"/>
          </w:tcPr>
          <w:p w:rsidR="00C97833" w:rsidRDefault="00C97833">
            <w:pPr>
              <w:pStyle w:val="ConsPlusNormal"/>
              <w:jc w:val="center"/>
              <w:outlineLvl w:val="3"/>
            </w:pPr>
            <w:bookmarkStart w:id="44" w:name="P500"/>
            <w:bookmarkEnd w:id="44"/>
            <w:r>
              <w:t>Подраздел 3.3. Показатели, характеризующие направление практики "Новые источники доходов бюджета и управление муниципальными заимствованиями"</w:t>
            </w:r>
          </w:p>
          <w:p w:rsidR="00C97833" w:rsidRDefault="00C97833">
            <w:pPr>
              <w:pStyle w:val="ConsPlusNormal"/>
              <w:jc w:val="center"/>
            </w:pPr>
            <w:r>
              <w:t xml:space="preserve">(раздел заполняется при выборе направления практики "Новые источники доходов бюджета и управление муниципальными заимствованиями" в </w:t>
            </w:r>
            <w:hyperlink w:anchor="P75">
              <w:r>
                <w:rPr>
                  <w:color w:val="0000FF"/>
                </w:rPr>
                <w:t>пункте 2</w:t>
              </w:r>
            </w:hyperlink>
            <w:r>
              <w:t xml:space="preserve"> описания практики)</w:t>
            </w: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5" w:name="P502"/>
            <w:bookmarkEnd w:id="45"/>
            <w:r>
              <w:lastRenderedPageBreak/>
              <w:t>3.3.1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средств самообложения граждан и (или) инициативного бюджетирования в объеме собственных доходов местного бюджета,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средств самообложения граждан и (или) инициативного бюджетирования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собственных доходов местного бюджета i-го муниципального образования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6" w:name="P512"/>
            <w:bookmarkEnd w:id="46"/>
            <w:r>
              <w:t>3.3.2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Отношение объема выплат по муниципальным гарантиям к общему объему предоставленных муниципальным образованием гарантий,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332i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332i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выплат по муниципальным гарантиям i-го муниципального образования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муниципального долга по предоставленным i-м муниципальным образованием гарантиям на 1 января отчетного финансового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</w:tcPr>
          <w:p w:rsidR="00C97833" w:rsidRDefault="00C97833">
            <w:pPr>
              <w:pStyle w:val="ConsPlusNormal"/>
              <w:jc w:val="center"/>
            </w:pPr>
            <w:bookmarkStart w:id="47" w:name="P522"/>
            <w:bookmarkEnd w:id="47"/>
            <w:r>
              <w:t>3.3.3</w:t>
            </w:r>
          </w:p>
        </w:tc>
        <w:tc>
          <w:tcPr>
            <w:tcW w:w="6236" w:type="dxa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Объем просроченной задолженности по долговым обязательствам муниципального образования, тыс. руб. (при наличии просроченной задолженности по долговым обязательствам муниципального образования, с указанием источника информации)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8" w:name="P526"/>
            <w:bookmarkEnd w:id="48"/>
            <w:r>
              <w:t>3.3.4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Средний темп роста неналоговых доходов бюджета муниципального образования за три последних отчетных финансовых года,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in-1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in-2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in-3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rPr>
                <w:noProof/>
                <w:position w:val="-15"/>
              </w:rPr>
              <w:drawing>
                <wp:inline distT="0" distB="0" distL="0" distR="0">
                  <wp:extent cx="3552190" cy="33528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334i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in</w:t>
            </w:r>
            <w:r>
              <w:t>, A</w:t>
            </w:r>
            <w:r>
              <w:rPr>
                <w:vertAlign w:val="subscript"/>
              </w:rPr>
              <w:t>in-1</w:t>
            </w:r>
            <w:r>
              <w:t>, A</w:t>
            </w:r>
            <w:r>
              <w:rPr>
                <w:vertAlign w:val="subscript"/>
              </w:rPr>
              <w:t>in-2</w:t>
            </w:r>
            <w:r>
              <w:t>, A</w:t>
            </w:r>
            <w:r>
              <w:rPr>
                <w:vertAlign w:val="subscript"/>
              </w:rPr>
              <w:t>in-3</w:t>
            </w:r>
            <w:r>
              <w:t xml:space="preserve"> - объем неналоговых доходов бюджета i-го муниципального образования, поступивших в бюджет муниципального образования соответственно в ____ г., ____ г., ____ г. и ____ г.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49" w:name="P537"/>
            <w:bookmarkEnd w:id="49"/>
            <w:r>
              <w:t>3.3.5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Эффективность управления финансовыми вложениями, осуществляемыми за счет средств местного бюджета,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335i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335i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доходы в виде прибыли, приходящейся на доли в уставных (складочных) капиталах хозяйственных товариществ и обществ или дивидендов по акциям, принадлежащим i-му муниципальному образованию,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балансовая стоимость акций, находящихся в собственности i-го муниципального образования, и иных форм участия в капитале хозяйственных товариществ и обществ на начало отчетного финансового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0" w:name="P547"/>
            <w:bookmarkEnd w:id="50"/>
            <w:r>
              <w:t>3.3.6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Отношение муниципальных заимствований,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привлеченных в целях финансирования инвестиционных расходов, к общему объему привлеченных муниципальных заимствований,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336i</w:t>
            </w:r>
            <w:r>
              <w:t xml:space="preserve"> = A</w:t>
            </w:r>
            <w:r>
              <w:rPr>
                <w:vertAlign w:val="subscript"/>
              </w:rPr>
              <w:t>i</w:t>
            </w:r>
            <w:r>
              <w:t xml:space="preserve">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336i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в отчетном финансовом году муниципальных заимствований, привлеченных в целях финансирования инвестиционных расходов, i-го муниципального образования;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привлеченных в отчетном финансовом году муниципальных заимствований i-го муниципального образования.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1" w:name="P558"/>
            <w:bookmarkEnd w:id="51"/>
            <w:r>
              <w:t>3.3.7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Отношение поступивших доходов бюджета муниципального образования без учета безвозмездных поступлений от бюджетов бюджетной системы Российской Федерации к объему доходов, первоначально утвержденному решением о местном бюджете,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337i</w:t>
            </w:r>
            <w:r>
              <w:t xml:space="preserve"> = |A</w:t>
            </w:r>
            <w:r>
              <w:rPr>
                <w:vertAlign w:val="subscript"/>
              </w:rPr>
              <w:t>i</w:t>
            </w:r>
            <w:r>
              <w:t xml:space="preserve"> - B</w:t>
            </w:r>
            <w:r>
              <w:rPr>
                <w:vertAlign w:val="subscript"/>
              </w:rPr>
              <w:t>i</w:t>
            </w:r>
            <w:r>
              <w:t>| / B</w:t>
            </w:r>
            <w:r>
              <w:rPr>
                <w:vertAlign w:val="subscript"/>
              </w:rPr>
              <w:t>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337i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доходов, поступивших в бюджет i-го муниципального образования без учета безвозмездных поступлений от бюджетов бюджетной системы Российской Федерации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первоначально утвержденный решением о бюджете i-го муниципального образования объем доходов местного бюджета на отчетный финансовый год без учета безвозмездных поступлений от бюджетов бюджетной системы Российской Федерации.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2" w:name="P568"/>
            <w:bookmarkEnd w:id="52"/>
            <w:r>
              <w:t>3.3.8</w:t>
            </w:r>
          </w:p>
        </w:tc>
        <w:tc>
          <w:tcPr>
            <w:tcW w:w="6236" w:type="dxa"/>
            <w:vMerge w:val="restart"/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Наличие акта муниципального образования об установлении и введении в действие туристического налога на текущий финансовый год (при положительном ответе - 1, при отрицательном ответе - 0).</w:t>
            </w: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да/нет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20" w:type="dxa"/>
          </w:tcPr>
          <w:p w:rsidR="00C97833" w:rsidRDefault="00C97833">
            <w:pPr>
              <w:pStyle w:val="ConsPlusNormal"/>
              <w:jc w:val="both"/>
            </w:pPr>
            <w:r>
              <w:t>Реквизиты акта</w:t>
            </w:r>
          </w:p>
        </w:tc>
        <w:tc>
          <w:tcPr>
            <w:tcW w:w="1077" w:type="dxa"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3" w:name="P574"/>
            <w:bookmarkEnd w:id="53"/>
            <w:r>
              <w:lastRenderedPageBreak/>
              <w:t>3.3.9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Равномерность распределения расходов на погашение муниципального долга за последние три года,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maxi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mini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si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339i</w:t>
            </w:r>
            <w:r>
              <w:t xml:space="preserve"> = (A</w:t>
            </w:r>
            <w:r>
              <w:rPr>
                <w:vertAlign w:val="subscript"/>
              </w:rPr>
              <w:t>maxi</w:t>
            </w:r>
            <w:r>
              <w:t xml:space="preserve"> - A</w:t>
            </w:r>
            <w:r>
              <w:rPr>
                <w:vertAlign w:val="subscript"/>
              </w:rPr>
              <w:t>mini</w:t>
            </w:r>
            <w:r>
              <w:t>) / A</w:t>
            </w:r>
            <w:r>
              <w:rPr>
                <w:vertAlign w:val="subscript"/>
              </w:rPr>
              <w:t>si</w:t>
            </w:r>
            <w:r>
              <w:t>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339i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maxi</w:t>
            </w:r>
            <w:r>
              <w:t xml:space="preserve"> - максимальный годовой объем погашения муниципального долга i-го муниципального образования за три последних отчетных финансовых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mini</w:t>
            </w:r>
            <w:r>
              <w:t xml:space="preserve"> - минимальный годовой объем погашения муниципального долга i-го муниципального образования за три последних отчетных финансовых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si</w:t>
            </w:r>
            <w:r>
              <w:t xml:space="preserve"> - средний годовой объем погашения муниципального долга i-го муниципального образования за три последних отчетных финансовых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4" w:name="P586"/>
            <w:bookmarkEnd w:id="54"/>
            <w:r>
              <w:t>3.3.10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поступлений от уплаты местных налогов в объеме налоговых доходов местного бюджета за отчетный финансовый год,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3310i</w:t>
            </w:r>
            <w:r>
              <w:t xml:space="preserve"> = Ai / Bi,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3310i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- объем поступлений от уплаты местных налогов в бюджет i-го муниципального образования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- объем налоговых доходов местного бюджета i-го муниципального образования в отчетном финансовом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5" w:name="P596"/>
            <w:bookmarkEnd w:id="55"/>
            <w:r>
              <w:t>3.3.11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Прирост объема доходов автономных и бюджетных учреждений от приносящей доход деятельности, рассчитываемый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3311i</w:t>
            </w:r>
            <w:r>
              <w:t xml:space="preserve"> = Ai / Bi,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3311i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Ai - объем доходов автономных и бюджетных учреждений от приносящей доход деятельности i-го муниципального образования в отчетном финансовом году;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Bi - объем доходов автономных и бюджетных учреждений от приносящей доход деятельности i-го муниципального образования в году, предшествующем отчетному финансовому году.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6" w:name="P606"/>
            <w:bookmarkEnd w:id="56"/>
            <w:r>
              <w:t>3.3.12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Соотношение недоимки по местным налогам на начало текущего финансового года и недоимки по местным налогам на начало отчетного финансового года,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3312i</w:t>
            </w:r>
            <w:r>
              <w:t xml:space="preserve"> = Ai / Bi,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3312i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Ai - объем недоимки по местным налогам i-го муниципального образования на начало текущего финансового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Bi - объем недоимки по местным налогам i-го муниципального образования на начало отчетного финансового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7" w:name="P616"/>
            <w:bookmarkEnd w:id="57"/>
            <w:r>
              <w:t>3.3.13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Соотношение недоимки по местным налогам на начало текущего финансового года к поступлениям по местным налогам на начало текущего финансового года, рассчитываемое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3313i</w:t>
            </w:r>
            <w:r>
              <w:t xml:space="preserve"> = Ai / Bi,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3313i</w:t>
            </w:r>
            <w:r>
              <w:t xml:space="preserve"> -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Ai - недоимка по местным налогам на начало текущего финансового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Bi - сумма поступления по местным налогам на начало текущего финансового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c>
          <w:tcPr>
            <w:tcW w:w="737" w:type="dxa"/>
            <w:vMerge w:val="restart"/>
          </w:tcPr>
          <w:p w:rsidR="00C97833" w:rsidRDefault="00C97833">
            <w:pPr>
              <w:pStyle w:val="ConsPlusNormal"/>
              <w:jc w:val="center"/>
            </w:pPr>
            <w:bookmarkStart w:id="58" w:name="P626"/>
            <w:bookmarkEnd w:id="58"/>
            <w:r>
              <w:t>3.3.14</w:t>
            </w:r>
          </w:p>
        </w:tc>
        <w:tc>
          <w:tcPr>
            <w:tcW w:w="6236" w:type="dxa"/>
            <w:tcBorders>
              <w:bottom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Доля налогоплательщиков, зарегистрированных на территории муниципального образования, имеющих задолженность по местным налогам, в общем количестве налогоплательщиков, зарегистрированных на территории муниципального образования, рассчитываемая по формуле:</w:t>
            </w:r>
          </w:p>
        </w:tc>
        <w:tc>
          <w:tcPr>
            <w:tcW w:w="1020" w:type="dxa"/>
            <w:vMerge w:val="restart"/>
          </w:tcPr>
          <w:p w:rsidR="00C97833" w:rsidRDefault="00C97833">
            <w:pPr>
              <w:pStyle w:val="ConsPlusNormal"/>
              <w:jc w:val="both"/>
            </w:pPr>
            <w:r>
              <w:t>A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  <w:p w:rsidR="00C97833" w:rsidRDefault="00C97833">
            <w:pPr>
              <w:pStyle w:val="ConsPlusNormal"/>
              <w:jc w:val="both"/>
            </w:pPr>
            <w:r>
              <w:t>B</w:t>
            </w:r>
            <w:r>
              <w:rPr>
                <w:vertAlign w:val="subscript"/>
              </w:rPr>
              <w:t>i</w:t>
            </w:r>
            <w:r>
              <w:t xml:space="preserve"> =</w:t>
            </w:r>
          </w:p>
        </w:tc>
        <w:tc>
          <w:tcPr>
            <w:tcW w:w="1077" w:type="dxa"/>
            <w:vMerge w:val="restart"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bottom w:val="nil"/>
            </w:tcBorders>
          </w:tcPr>
          <w:p w:rsidR="00C97833" w:rsidRDefault="00C97833">
            <w:pPr>
              <w:pStyle w:val="ConsPlusNormal"/>
              <w:jc w:val="center"/>
            </w:pPr>
            <w:r>
              <w:t>U</w:t>
            </w:r>
            <w:r>
              <w:rPr>
                <w:vertAlign w:val="subscript"/>
              </w:rPr>
              <w:t>3314i</w:t>
            </w:r>
            <w:r>
              <w:t xml:space="preserve"> = Ai / Bi,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  <w:tr w:rsidR="00C97833">
        <w:tblPrEx>
          <w:tblBorders>
            <w:insideH w:val="nil"/>
          </w:tblBorders>
        </w:tblPrEx>
        <w:tc>
          <w:tcPr>
            <w:tcW w:w="737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C97833" w:rsidRDefault="00C97833">
            <w:pPr>
              <w:pStyle w:val="ConsPlusNormal"/>
              <w:ind w:firstLine="283"/>
              <w:jc w:val="both"/>
            </w:pPr>
            <w:r>
              <w:t>где: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U</w:t>
            </w:r>
            <w:r>
              <w:rPr>
                <w:vertAlign w:val="subscript"/>
              </w:rPr>
              <w:t>3314i</w:t>
            </w:r>
            <w:r>
              <w:t xml:space="preserve"> </w:t>
            </w:r>
            <w:r>
              <w:rPr>
                <w:vertAlign w:val="superscript"/>
              </w:rPr>
              <w:t>_</w:t>
            </w:r>
            <w:r>
              <w:t xml:space="preserve"> значение соответствующего показателя в i-м муниципальном образовании;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Ai - количество налогоплательщиков, зарегистрированных на территории муниципального образования, имеющих задолженность по местным налогам i-го муниципального образования на начало текущего финансового года;</w:t>
            </w:r>
          </w:p>
          <w:p w:rsidR="00C97833" w:rsidRDefault="00C97833">
            <w:pPr>
              <w:pStyle w:val="ConsPlusNormal"/>
              <w:ind w:firstLine="283"/>
              <w:jc w:val="both"/>
            </w:pPr>
            <w:r>
              <w:t>Bi - общее количество налогоплательщиков по местным налогам, зарегистрированных на территории муниципального образования i-го муниципального образования на начало текущего финансового года.</w:t>
            </w:r>
          </w:p>
        </w:tc>
        <w:tc>
          <w:tcPr>
            <w:tcW w:w="1020" w:type="dxa"/>
            <w:vMerge/>
          </w:tcPr>
          <w:p w:rsidR="00C97833" w:rsidRDefault="00C97833">
            <w:pPr>
              <w:pStyle w:val="ConsPlusNormal"/>
            </w:pPr>
          </w:p>
        </w:tc>
        <w:tc>
          <w:tcPr>
            <w:tcW w:w="1077" w:type="dxa"/>
            <w:vMerge/>
          </w:tcPr>
          <w:p w:rsidR="00C97833" w:rsidRDefault="00C97833">
            <w:pPr>
              <w:pStyle w:val="ConsPlusNormal"/>
            </w:pPr>
          </w:p>
        </w:tc>
      </w:tr>
    </w:tbl>
    <w:p w:rsidR="00C97833" w:rsidRDefault="00C97833">
      <w:pPr>
        <w:pStyle w:val="ConsPlusNormal"/>
        <w:jc w:val="both"/>
      </w:pPr>
    </w:p>
    <w:p w:rsidR="00C97833" w:rsidRDefault="00C97833">
      <w:pPr>
        <w:pStyle w:val="ConsPlusNonformat"/>
        <w:jc w:val="both"/>
      </w:pPr>
      <w:r>
        <w:t>Приложение: на ___ л.</w:t>
      </w:r>
    </w:p>
    <w:p w:rsidR="00C97833" w:rsidRDefault="00C97833">
      <w:pPr>
        <w:pStyle w:val="ConsPlusNonformat"/>
        <w:jc w:val="both"/>
      </w:pPr>
      <w:r>
        <w:t>Достоверность   представленной   в  составе  конкурсной  заявки  информации</w:t>
      </w:r>
    </w:p>
    <w:p w:rsidR="00C97833" w:rsidRDefault="00C97833">
      <w:pPr>
        <w:pStyle w:val="ConsPlusNonformat"/>
        <w:jc w:val="both"/>
      </w:pPr>
      <w:r>
        <w:t>подтверждаю.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>Глава муниципального образования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            (подпись и расшифровка подписи)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lastRenderedPageBreak/>
        <w:t>СОГЛАСОВАНО</w:t>
      </w:r>
    </w:p>
    <w:p w:rsidR="00C97833" w:rsidRDefault="00C97833">
      <w:pPr>
        <w:pStyle w:val="ConsPlusNonformat"/>
        <w:jc w:val="both"/>
      </w:pP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(наименование должности визирующего должностного лица,</w:t>
      </w:r>
    </w:p>
    <w:p w:rsidR="00C97833" w:rsidRDefault="00C97833">
      <w:pPr>
        <w:pStyle w:val="ConsPlusNonformat"/>
        <w:jc w:val="both"/>
      </w:pPr>
      <w:r>
        <w:t xml:space="preserve">              ответственного в субъекте Российской Федерации</w:t>
      </w:r>
    </w:p>
    <w:p w:rsidR="00C97833" w:rsidRDefault="00C97833">
      <w:pPr>
        <w:pStyle w:val="ConsPlusNonformat"/>
        <w:jc w:val="both"/>
      </w:pPr>
      <w:r>
        <w:t xml:space="preserve">          за предоставление конкурсной заявки на федеральный этап</w:t>
      </w:r>
    </w:p>
    <w:p w:rsidR="00C97833" w:rsidRDefault="00C97833">
      <w:pPr>
        <w:pStyle w:val="ConsPlusNonformat"/>
        <w:jc w:val="both"/>
      </w:pPr>
      <w:r>
        <w:t xml:space="preserve">              конкурса и за финансовое направление в субъекте</w:t>
      </w:r>
    </w:p>
    <w:p w:rsidR="00C97833" w:rsidRDefault="00C97833">
      <w:pPr>
        <w:pStyle w:val="ConsPlusNonformat"/>
        <w:jc w:val="both"/>
      </w:pPr>
      <w:r>
        <w:t xml:space="preserve">                           Российской Федерации</w:t>
      </w:r>
    </w:p>
    <w:p w:rsidR="00C97833" w:rsidRDefault="00C97833">
      <w:pPr>
        <w:pStyle w:val="ConsPlusNonformat"/>
        <w:jc w:val="both"/>
      </w:pPr>
      <w:r>
        <w:t>___________________________________________________________________________</w:t>
      </w:r>
    </w:p>
    <w:p w:rsidR="00C97833" w:rsidRDefault="00C97833">
      <w:pPr>
        <w:pStyle w:val="ConsPlusNonformat"/>
        <w:jc w:val="both"/>
      </w:pPr>
      <w:r>
        <w:t xml:space="preserve">                      (подпись и расшифровка подписи)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--------------------------------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59" w:name="P658"/>
      <w:bookmarkEnd w:id="59"/>
      <w:r>
        <w:t xml:space="preserve">&lt;1&gt;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12.04.2012 N 289 "О федеральной государственной информационной системе территориального планирования".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0" w:name="P659"/>
      <w:bookmarkEnd w:id="60"/>
      <w:r>
        <w:t xml:space="preserve">&lt;2&gt; </w:t>
      </w:r>
      <w:hyperlink r:id="rId3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06.05.2008 N 671-р "Об утверждении Федерального плана статистических работ".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1" w:name="P660"/>
      <w:bookmarkEnd w:id="61"/>
      <w:r>
        <w:t xml:space="preserve">&lt;3&gt; </w:t>
      </w:r>
      <w:hyperlink r:id="rId35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(функций), утвержденное постановлением Правительства Российской Федерации от 24.10.2011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right"/>
        <w:outlineLvl w:val="0"/>
      </w:pPr>
      <w:r>
        <w:t>Приложение N 2</w:t>
      </w:r>
    </w:p>
    <w:p w:rsidR="00C97833" w:rsidRDefault="00C97833">
      <w:pPr>
        <w:pStyle w:val="ConsPlusNormal"/>
        <w:jc w:val="right"/>
      </w:pPr>
      <w:r>
        <w:t>к приказу Минэкономразвития России</w:t>
      </w:r>
    </w:p>
    <w:p w:rsidR="00C97833" w:rsidRDefault="00C97833">
      <w:pPr>
        <w:pStyle w:val="ConsPlusNormal"/>
        <w:jc w:val="right"/>
      </w:pPr>
      <w:r>
        <w:t>от 26.06.2025 N 424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Title"/>
        <w:jc w:val="center"/>
      </w:pPr>
      <w:bookmarkStart w:id="62" w:name="P670"/>
      <w:bookmarkEnd w:id="62"/>
      <w:r>
        <w:t>МЕТОДИКА</w:t>
      </w:r>
    </w:p>
    <w:p w:rsidR="00C97833" w:rsidRDefault="00C97833">
      <w:pPr>
        <w:pStyle w:val="ConsPlusTitle"/>
        <w:jc w:val="center"/>
      </w:pPr>
      <w:r>
        <w:t>ОЦЕНКИ КОНКУРСНЫХ ЗАЯВОК МУНИЦИПАЛЬНЫХ ОБРАЗОВАНИЙ,</w:t>
      </w:r>
    </w:p>
    <w:p w:rsidR="00C97833" w:rsidRDefault="00C97833">
      <w:pPr>
        <w:pStyle w:val="ConsPlusTitle"/>
        <w:jc w:val="center"/>
      </w:pPr>
      <w:r>
        <w:t>ПРЕДСТАВЛЯЕМЫХ ДЛЯ УЧАСТИЯ ВО ВСЕРОССИЙСКОМ КОНКУРСЕ</w:t>
      </w:r>
    </w:p>
    <w:p w:rsidR="00C97833" w:rsidRDefault="00C97833">
      <w:pPr>
        <w:pStyle w:val="ConsPlusTitle"/>
        <w:jc w:val="center"/>
      </w:pPr>
      <w:r>
        <w:t>"ЛУЧШАЯ МУНИЦИПАЛЬНАЯ ПРАКТИКА" ПО НОМИНАЦИИ "ПОВЫШЕНИЕ</w:t>
      </w:r>
    </w:p>
    <w:p w:rsidR="00C97833" w:rsidRDefault="00C97833">
      <w:pPr>
        <w:pStyle w:val="ConsPlusTitle"/>
        <w:jc w:val="center"/>
      </w:pPr>
      <w:r>
        <w:t>ЭФФЕКТИВНОСТИ УПРАВЛЕНИЯ ТЕРРИТОРИЕЙ</w:t>
      </w:r>
    </w:p>
    <w:p w:rsidR="00C97833" w:rsidRDefault="00C97833">
      <w:pPr>
        <w:pStyle w:val="ConsPlusTitle"/>
        <w:jc w:val="center"/>
      </w:pPr>
      <w:r>
        <w:t>МУНИЦИПАЛЬНОГО ОБРАЗОВАНИЯ"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 xml:space="preserve">1. Оценка конкурсных заявок муниципальных образований, представляемых для участия во Всероссийском конкурсе "Лучшая муниципальная практика" по номинации "Повышение эффективности управления территорией муниципального образования" (далее - конкурсные заявки) осуществляется по каждой из категорий участников конкурса, указанных в </w:t>
      </w:r>
      <w:hyperlink r:id="rId36">
        <w:r>
          <w:rPr>
            <w:color w:val="0000FF"/>
          </w:rPr>
          <w:t>пункте 4</w:t>
        </w:r>
      </w:hyperlink>
      <w:r>
        <w:t xml:space="preserve"> Положения о Всероссийском конкурсе "Лучшая муниципальная практика", утвержденного постановлением Правительства Российской Федерации от 18 августа 2016 г. N 815 "О Всероссийском конкурсе "Лучшая муниципальная практика" (далее - конкурс), в целях выявления и отбора примеров лучшей муниципальной практики на региональном и федеральном этапах конкурса путем присвоения количества баллов согласно настоящей Методике.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2. Оценка конкурсных заявок на федеральном этапе осуществляется по трем разделам показателей, характеризующих деятельность органа местного самоуправления, приведенных в </w:t>
      </w:r>
      <w:hyperlink w:anchor="P38">
        <w:r>
          <w:rPr>
            <w:color w:val="0000FF"/>
          </w:rPr>
          <w:t>приложении N 1</w:t>
        </w:r>
      </w:hyperlink>
      <w:r>
        <w:t xml:space="preserve"> к настоящему Приказу (далее - показатели, характеризующие деятельность органа местного самоуправления), из которых: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итоговая оценка формируется Минэкономразвития России по </w:t>
      </w:r>
      <w:hyperlink w:anchor="P97">
        <w:r>
          <w:rPr>
            <w:color w:val="0000FF"/>
          </w:rPr>
          <w:t>разделу 1</w:t>
        </w:r>
      </w:hyperlink>
      <w:r>
        <w:t xml:space="preserve"> "Показатели, </w:t>
      </w:r>
      <w:r>
        <w:lastRenderedPageBreak/>
        <w:t xml:space="preserve">характеризующие социально-экономическую ситуацию в муниципальном образовании" (далее - раздел 1), </w:t>
      </w:r>
      <w:hyperlink w:anchor="P296">
        <w:r>
          <w:rPr>
            <w:color w:val="0000FF"/>
          </w:rPr>
          <w:t>подразделу 3.1</w:t>
        </w:r>
      </w:hyperlink>
      <w:r>
        <w:t xml:space="preserve"> "Показатели, характеризующие направление практики "Инвестиции" раздела 3 "Показатели, характеризующие выбранное направление практики" (далее - подраздел 3.1 и раздел 3 соответственно) и </w:t>
      </w:r>
      <w:hyperlink w:anchor="P394">
        <w:r>
          <w:rPr>
            <w:color w:val="0000FF"/>
          </w:rPr>
          <w:t>подразделу 3.2</w:t>
        </w:r>
      </w:hyperlink>
      <w:r>
        <w:t xml:space="preserve"> "Управление имуществом и инфраструктурой" раздела 3 (далее - подраздел 3.2)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итоговая оценка формируется Минфином России по </w:t>
      </w:r>
      <w:hyperlink w:anchor="P193">
        <w:r>
          <w:rPr>
            <w:color w:val="0000FF"/>
          </w:rPr>
          <w:t>разделу 2</w:t>
        </w:r>
      </w:hyperlink>
      <w:r>
        <w:t xml:space="preserve"> "Показатели, характеризующие управление муниципальными финансами" (далее - раздел 2) и </w:t>
      </w:r>
      <w:hyperlink w:anchor="P500">
        <w:r>
          <w:rPr>
            <w:color w:val="0000FF"/>
          </w:rPr>
          <w:t>подразделу 3.3</w:t>
        </w:r>
      </w:hyperlink>
      <w:r>
        <w:t xml:space="preserve"> "Показатели, характеризующие направление практики "Новые источники доходов бюджета и управление муниципальными заимствованиями" (далее - подраздел 3.3) раздела 3 показателей, характеризующих деятельность органа местного самоуправления, и направляется в Минэкономразвития России.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3. Оценка конкурсных заявок на региональном этапе конкурса рассчитывается исполнительным органом субъекта Российской Федерации, организационным комитетом или иным коллегиальным органом, образованным для проведения регионального этапа конкурса в соответствующем субъекте Российской Федерации по формулам, предусмотренным </w:t>
      </w:r>
      <w:hyperlink w:anchor="P683">
        <w:r>
          <w:rPr>
            <w:color w:val="0000FF"/>
          </w:rPr>
          <w:t>пунктами 4</w:t>
        </w:r>
      </w:hyperlink>
      <w:r>
        <w:t xml:space="preserve">, </w:t>
      </w:r>
      <w:hyperlink w:anchor="P702">
        <w:r>
          <w:rPr>
            <w:color w:val="0000FF"/>
          </w:rPr>
          <w:t>5</w:t>
        </w:r>
      </w:hyperlink>
      <w:r>
        <w:t xml:space="preserve">, </w:t>
      </w:r>
      <w:hyperlink w:anchor="P711">
        <w:r>
          <w:rPr>
            <w:color w:val="0000FF"/>
          </w:rPr>
          <w:t>6</w:t>
        </w:r>
      </w:hyperlink>
      <w:r>
        <w:t xml:space="preserve">, </w:t>
      </w:r>
      <w:hyperlink w:anchor="P717">
        <w:r>
          <w:rPr>
            <w:color w:val="0000FF"/>
          </w:rPr>
          <w:t>7</w:t>
        </w:r>
      </w:hyperlink>
      <w:r>
        <w:t xml:space="preserve">, </w:t>
      </w:r>
      <w:hyperlink w:anchor="P723">
        <w:r>
          <w:rPr>
            <w:color w:val="0000FF"/>
          </w:rPr>
          <w:t>8</w:t>
        </w:r>
      </w:hyperlink>
      <w:r>
        <w:t xml:space="preserve"> настоящей Методики, в зависимости от категории и направления практики.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Конкурсные заявки, поданные менее чем по двум направлениям, оценке не подлежат.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3" w:name="P683"/>
      <w:bookmarkEnd w:id="63"/>
      <w:r>
        <w:t>4. Индексы определяются с учетом следующего: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а) показателям, предусмотренным </w:t>
      </w:r>
      <w:hyperlink w:anchor="P396">
        <w:r>
          <w:rPr>
            <w:color w:val="0000FF"/>
          </w:rPr>
          <w:t>пунктами 3.2.1</w:t>
        </w:r>
      </w:hyperlink>
      <w:r>
        <w:t xml:space="preserve">, </w:t>
      </w:r>
      <w:hyperlink w:anchor="P488">
        <w:r>
          <w:rPr>
            <w:color w:val="0000FF"/>
          </w:rPr>
          <w:t>3.2.10</w:t>
        </w:r>
      </w:hyperlink>
      <w:r>
        <w:t xml:space="preserve">, </w:t>
      </w:r>
      <w:hyperlink w:anchor="P492">
        <w:r>
          <w:rPr>
            <w:color w:val="0000FF"/>
          </w:rPr>
          <w:t>3.2.11</w:t>
        </w:r>
      </w:hyperlink>
      <w:r>
        <w:t xml:space="preserve">, </w:t>
      </w:r>
      <w:hyperlink w:anchor="P496">
        <w:r>
          <w:rPr>
            <w:color w:val="0000FF"/>
          </w:rPr>
          <w:t>3.2.12</w:t>
        </w:r>
      </w:hyperlink>
      <w:r>
        <w:t xml:space="preserve"> и </w:t>
      </w:r>
      <w:hyperlink w:anchor="P568">
        <w:r>
          <w:rPr>
            <w:color w:val="0000FF"/>
          </w:rPr>
          <w:t>3.3.8</w:t>
        </w:r>
      </w:hyperlink>
      <w:r>
        <w:t xml:space="preserve"> показателей, характеризующих деятельность органа местного самоуправления, в случае положительного ответа присваивается индекс 1, в случае отрицательного - 0;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показателю, предусмотренному </w:t>
      </w:r>
      <w:hyperlink w:anchor="P522">
        <w:r>
          <w:rPr>
            <w:color w:val="0000FF"/>
          </w:rPr>
          <w:t>пунктом 3.3.3</w:t>
        </w:r>
      </w:hyperlink>
      <w:r>
        <w:t xml:space="preserve"> показателей, характеризующих деятельность органа местного самоуправления, в случае положительного ответа присваивается индекс 0, в случае отрицательного - 1;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б) к показателям, предусмотренным </w:t>
      </w:r>
      <w:hyperlink w:anchor="P98">
        <w:r>
          <w:rPr>
            <w:color w:val="0000FF"/>
          </w:rPr>
          <w:t>пунктами 1.1</w:t>
        </w:r>
      </w:hyperlink>
      <w:r>
        <w:t xml:space="preserve">, </w:t>
      </w:r>
      <w:hyperlink w:anchor="P109">
        <w:r>
          <w:rPr>
            <w:color w:val="0000FF"/>
          </w:rPr>
          <w:t>1.2</w:t>
        </w:r>
      </w:hyperlink>
      <w:r>
        <w:t xml:space="preserve">, </w:t>
      </w:r>
      <w:hyperlink w:anchor="P125">
        <w:r>
          <w:rPr>
            <w:color w:val="0000FF"/>
          </w:rPr>
          <w:t>1.3</w:t>
        </w:r>
      </w:hyperlink>
      <w:r>
        <w:t xml:space="preserve">, </w:t>
      </w:r>
      <w:hyperlink w:anchor="P136">
        <w:r>
          <w:rPr>
            <w:color w:val="0000FF"/>
          </w:rPr>
          <w:t>1.4</w:t>
        </w:r>
      </w:hyperlink>
      <w:r>
        <w:t xml:space="preserve">, </w:t>
      </w:r>
      <w:hyperlink w:anchor="P152">
        <w:r>
          <w:rPr>
            <w:color w:val="0000FF"/>
          </w:rPr>
          <w:t>1.5</w:t>
        </w:r>
      </w:hyperlink>
      <w:r>
        <w:t xml:space="preserve">, </w:t>
      </w:r>
      <w:hyperlink w:anchor="P163">
        <w:r>
          <w:rPr>
            <w:color w:val="0000FF"/>
          </w:rPr>
          <w:t>1.6</w:t>
        </w:r>
      </w:hyperlink>
      <w:r>
        <w:t xml:space="preserve">, </w:t>
      </w:r>
      <w:hyperlink w:anchor="P173">
        <w:r>
          <w:rPr>
            <w:color w:val="0000FF"/>
          </w:rPr>
          <w:t>1.7</w:t>
        </w:r>
      </w:hyperlink>
      <w:r>
        <w:t xml:space="preserve">, </w:t>
      </w:r>
      <w:hyperlink w:anchor="P194">
        <w:r>
          <w:rPr>
            <w:color w:val="0000FF"/>
          </w:rPr>
          <w:t>2.1</w:t>
        </w:r>
      </w:hyperlink>
      <w:r>
        <w:t xml:space="preserve">, </w:t>
      </w:r>
      <w:hyperlink w:anchor="P205">
        <w:r>
          <w:rPr>
            <w:color w:val="0000FF"/>
          </w:rPr>
          <w:t>2.2</w:t>
        </w:r>
      </w:hyperlink>
      <w:r>
        <w:t xml:space="preserve">, </w:t>
      </w:r>
      <w:hyperlink w:anchor="P225">
        <w:r>
          <w:rPr>
            <w:color w:val="0000FF"/>
          </w:rPr>
          <w:t>2.4</w:t>
        </w:r>
      </w:hyperlink>
      <w:r>
        <w:t xml:space="preserve">, </w:t>
      </w:r>
      <w:hyperlink w:anchor="P235">
        <w:r>
          <w:rPr>
            <w:color w:val="0000FF"/>
          </w:rPr>
          <w:t>2.5</w:t>
        </w:r>
      </w:hyperlink>
      <w:r>
        <w:t xml:space="preserve">, </w:t>
      </w:r>
      <w:hyperlink w:anchor="P265">
        <w:r>
          <w:rPr>
            <w:color w:val="0000FF"/>
          </w:rPr>
          <w:t>2.8</w:t>
        </w:r>
      </w:hyperlink>
      <w:r>
        <w:t xml:space="preserve">, </w:t>
      </w:r>
      <w:hyperlink w:anchor="P275">
        <w:r>
          <w:rPr>
            <w:color w:val="0000FF"/>
          </w:rPr>
          <w:t>2.9</w:t>
        </w:r>
      </w:hyperlink>
      <w:r>
        <w:t xml:space="preserve">, </w:t>
      </w:r>
      <w:hyperlink w:anchor="P285">
        <w:r>
          <w:rPr>
            <w:color w:val="0000FF"/>
          </w:rPr>
          <w:t>2.10</w:t>
        </w:r>
      </w:hyperlink>
      <w:r>
        <w:t xml:space="preserve">, </w:t>
      </w:r>
      <w:hyperlink w:anchor="P298">
        <w:r>
          <w:rPr>
            <w:color w:val="0000FF"/>
          </w:rPr>
          <w:t>3.1.1</w:t>
        </w:r>
      </w:hyperlink>
      <w:r>
        <w:t xml:space="preserve">, </w:t>
      </w:r>
      <w:hyperlink w:anchor="P309">
        <w:r>
          <w:rPr>
            <w:color w:val="0000FF"/>
          </w:rPr>
          <w:t>3.1.2</w:t>
        </w:r>
      </w:hyperlink>
      <w:r>
        <w:t xml:space="preserve">, </w:t>
      </w:r>
      <w:hyperlink w:anchor="P320">
        <w:r>
          <w:rPr>
            <w:color w:val="0000FF"/>
          </w:rPr>
          <w:t>3.1.3</w:t>
        </w:r>
      </w:hyperlink>
      <w:r>
        <w:t xml:space="preserve">, </w:t>
      </w:r>
      <w:hyperlink w:anchor="P330">
        <w:r>
          <w:rPr>
            <w:color w:val="0000FF"/>
          </w:rPr>
          <w:t>3.1.4</w:t>
        </w:r>
      </w:hyperlink>
      <w:r>
        <w:t xml:space="preserve">, </w:t>
      </w:r>
      <w:hyperlink w:anchor="P341">
        <w:r>
          <w:rPr>
            <w:color w:val="0000FF"/>
          </w:rPr>
          <w:t>3.1.5</w:t>
        </w:r>
      </w:hyperlink>
      <w:r>
        <w:t xml:space="preserve">, </w:t>
      </w:r>
      <w:hyperlink w:anchor="P352">
        <w:r>
          <w:rPr>
            <w:color w:val="0000FF"/>
          </w:rPr>
          <w:t>3.1.6</w:t>
        </w:r>
      </w:hyperlink>
      <w:r>
        <w:t xml:space="preserve">, </w:t>
      </w:r>
      <w:hyperlink w:anchor="P378">
        <w:r>
          <w:rPr>
            <w:color w:val="0000FF"/>
          </w:rPr>
          <w:t>3.1.7</w:t>
        </w:r>
      </w:hyperlink>
      <w:r>
        <w:t xml:space="preserve">, </w:t>
      </w:r>
      <w:hyperlink w:anchor="P404">
        <w:r>
          <w:rPr>
            <w:color w:val="0000FF"/>
          </w:rPr>
          <w:t>3.2.2</w:t>
        </w:r>
      </w:hyperlink>
      <w:r>
        <w:t xml:space="preserve">, </w:t>
      </w:r>
      <w:hyperlink w:anchor="P425">
        <w:r>
          <w:rPr>
            <w:color w:val="0000FF"/>
          </w:rPr>
          <w:t>3.2.4</w:t>
        </w:r>
      </w:hyperlink>
      <w:r>
        <w:t xml:space="preserve">, </w:t>
      </w:r>
      <w:hyperlink w:anchor="P446">
        <w:r>
          <w:rPr>
            <w:color w:val="0000FF"/>
          </w:rPr>
          <w:t>3.2.6</w:t>
        </w:r>
      </w:hyperlink>
      <w:r>
        <w:t xml:space="preserve">, </w:t>
      </w:r>
      <w:hyperlink w:anchor="P457">
        <w:r>
          <w:rPr>
            <w:color w:val="0000FF"/>
          </w:rPr>
          <w:t>3.2.7</w:t>
        </w:r>
      </w:hyperlink>
      <w:r>
        <w:t xml:space="preserve">, </w:t>
      </w:r>
      <w:hyperlink w:anchor="P468">
        <w:r>
          <w:rPr>
            <w:color w:val="0000FF"/>
          </w:rPr>
          <w:t>3.2.8</w:t>
        </w:r>
      </w:hyperlink>
      <w:r>
        <w:t xml:space="preserve">, </w:t>
      </w:r>
      <w:hyperlink w:anchor="P478">
        <w:r>
          <w:rPr>
            <w:color w:val="0000FF"/>
          </w:rPr>
          <w:t>3.2.9</w:t>
        </w:r>
      </w:hyperlink>
      <w:r>
        <w:t xml:space="preserve">, </w:t>
      </w:r>
      <w:hyperlink w:anchor="P502">
        <w:r>
          <w:rPr>
            <w:color w:val="0000FF"/>
          </w:rPr>
          <w:t>3.3.1</w:t>
        </w:r>
      </w:hyperlink>
      <w:r>
        <w:t xml:space="preserve">, </w:t>
      </w:r>
      <w:hyperlink w:anchor="P526">
        <w:r>
          <w:rPr>
            <w:color w:val="0000FF"/>
          </w:rPr>
          <w:t>3.3.4</w:t>
        </w:r>
      </w:hyperlink>
      <w:r>
        <w:t xml:space="preserve">, </w:t>
      </w:r>
      <w:hyperlink w:anchor="P537">
        <w:r>
          <w:rPr>
            <w:color w:val="0000FF"/>
          </w:rPr>
          <w:t>3.3.5</w:t>
        </w:r>
      </w:hyperlink>
      <w:r>
        <w:t xml:space="preserve">, </w:t>
      </w:r>
      <w:hyperlink w:anchor="P547">
        <w:r>
          <w:rPr>
            <w:color w:val="0000FF"/>
          </w:rPr>
          <w:t>3.3.6</w:t>
        </w:r>
      </w:hyperlink>
      <w:r>
        <w:t xml:space="preserve">, </w:t>
      </w:r>
      <w:hyperlink w:anchor="P586">
        <w:r>
          <w:rPr>
            <w:color w:val="0000FF"/>
          </w:rPr>
          <w:t>3.3.10</w:t>
        </w:r>
      </w:hyperlink>
      <w:r>
        <w:t xml:space="preserve"> и </w:t>
      </w:r>
      <w:hyperlink w:anchor="P596">
        <w:r>
          <w:rPr>
            <w:color w:val="0000FF"/>
          </w:rPr>
          <w:t>3.3.11</w:t>
        </w:r>
      </w:hyperlink>
      <w:r>
        <w:t xml:space="preserve"> показателей, характеризующих деятельность органа местного самоуправления, применяется индекс (Ип), рассчитываемый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t>Ип = (П</w:t>
      </w:r>
      <w:r>
        <w:rPr>
          <w:vertAlign w:val="subscript"/>
        </w:rPr>
        <w:t>i</w:t>
      </w:r>
      <w:r>
        <w:t xml:space="preserve"> - П</w:t>
      </w:r>
      <w:r>
        <w:rPr>
          <w:vertAlign w:val="subscript"/>
        </w:rPr>
        <w:t>мин</w:t>
      </w:r>
      <w:r>
        <w:t>) / (П</w:t>
      </w:r>
      <w:r>
        <w:rPr>
          <w:vertAlign w:val="subscript"/>
        </w:rPr>
        <w:t>макс</w:t>
      </w:r>
      <w:r>
        <w:t xml:space="preserve"> - П</w:t>
      </w:r>
      <w:r>
        <w:rPr>
          <w:vertAlign w:val="subscript"/>
        </w:rPr>
        <w:t>мин</w:t>
      </w:r>
      <w:r>
        <w:t>),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i</w:t>
      </w:r>
      <w:r>
        <w:t xml:space="preserve"> - значение соответствующего показателя муниципального образования;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мин</w:t>
      </w:r>
      <w:r>
        <w:t xml:space="preserve"> - минимальное значение соответствующего показателя среди муниципальных образований;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макс</w:t>
      </w:r>
      <w:r>
        <w:t xml:space="preserve"> - максимальное значение соответствующего показателя среди муниципальных образований;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в) к показателям, предусмотренным </w:t>
      </w:r>
      <w:hyperlink w:anchor="P183">
        <w:r>
          <w:rPr>
            <w:color w:val="0000FF"/>
          </w:rPr>
          <w:t>пунктами 1.8</w:t>
        </w:r>
      </w:hyperlink>
      <w:r>
        <w:t xml:space="preserve">, </w:t>
      </w:r>
      <w:hyperlink w:anchor="P215">
        <w:r>
          <w:rPr>
            <w:color w:val="0000FF"/>
          </w:rPr>
          <w:t>2.3</w:t>
        </w:r>
      </w:hyperlink>
      <w:r>
        <w:t xml:space="preserve">, </w:t>
      </w:r>
      <w:hyperlink w:anchor="P245">
        <w:r>
          <w:rPr>
            <w:color w:val="0000FF"/>
          </w:rPr>
          <w:t>2.6</w:t>
        </w:r>
      </w:hyperlink>
      <w:r>
        <w:t xml:space="preserve">, </w:t>
      </w:r>
      <w:hyperlink w:anchor="P255">
        <w:r>
          <w:rPr>
            <w:color w:val="0000FF"/>
          </w:rPr>
          <w:t>2.7</w:t>
        </w:r>
      </w:hyperlink>
      <w:r>
        <w:t xml:space="preserve">, </w:t>
      </w:r>
      <w:hyperlink w:anchor="P415">
        <w:r>
          <w:rPr>
            <w:color w:val="0000FF"/>
          </w:rPr>
          <w:t>3.2.3</w:t>
        </w:r>
      </w:hyperlink>
      <w:r>
        <w:t xml:space="preserve">, </w:t>
      </w:r>
      <w:hyperlink w:anchor="P436">
        <w:r>
          <w:rPr>
            <w:color w:val="0000FF"/>
          </w:rPr>
          <w:t>3.2.5</w:t>
        </w:r>
      </w:hyperlink>
      <w:r>
        <w:t xml:space="preserve">, </w:t>
      </w:r>
      <w:hyperlink w:anchor="P512">
        <w:r>
          <w:rPr>
            <w:color w:val="0000FF"/>
          </w:rPr>
          <w:t>3.3.2</w:t>
        </w:r>
      </w:hyperlink>
      <w:r>
        <w:t xml:space="preserve">, </w:t>
      </w:r>
      <w:hyperlink w:anchor="P558">
        <w:r>
          <w:rPr>
            <w:color w:val="0000FF"/>
          </w:rPr>
          <w:t>3.3.7</w:t>
        </w:r>
      </w:hyperlink>
      <w:r>
        <w:t xml:space="preserve">, </w:t>
      </w:r>
      <w:hyperlink w:anchor="P574">
        <w:r>
          <w:rPr>
            <w:color w:val="0000FF"/>
          </w:rPr>
          <w:t>3.3.9</w:t>
        </w:r>
      </w:hyperlink>
      <w:r>
        <w:t xml:space="preserve">, </w:t>
      </w:r>
      <w:hyperlink w:anchor="P606">
        <w:r>
          <w:rPr>
            <w:color w:val="0000FF"/>
          </w:rPr>
          <w:t>3.3.12</w:t>
        </w:r>
      </w:hyperlink>
      <w:r>
        <w:t xml:space="preserve">, </w:t>
      </w:r>
      <w:hyperlink w:anchor="P616">
        <w:r>
          <w:rPr>
            <w:color w:val="0000FF"/>
          </w:rPr>
          <w:t>3.3.13</w:t>
        </w:r>
      </w:hyperlink>
      <w:r>
        <w:t xml:space="preserve"> и </w:t>
      </w:r>
      <w:hyperlink w:anchor="P626">
        <w:r>
          <w:rPr>
            <w:color w:val="0000FF"/>
          </w:rPr>
          <w:t>3.3.14</w:t>
        </w:r>
      </w:hyperlink>
      <w:r>
        <w:t xml:space="preserve"> показателей, характеризующих деятельность органа местного самоуправления, применяется индекс (Ип), рассчитываемый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t>Ип = (П</w:t>
      </w:r>
      <w:r>
        <w:rPr>
          <w:vertAlign w:val="subscript"/>
        </w:rPr>
        <w:t>макс</w:t>
      </w:r>
      <w:r>
        <w:t xml:space="preserve"> - П</w:t>
      </w:r>
      <w:r>
        <w:rPr>
          <w:vertAlign w:val="subscript"/>
        </w:rPr>
        <w:t>i</w:t>
      </w:r>
      <w:r>
        <w:t>) / (П</w:t>
      </w:r>
      <w:r>
        <w:rPr>
          <w:vertAlign w:val="subscript"/>
        </w:rPr>
        <w:t>макс</w:t>
      </w:r>
      <w:r>
        <w:t xml:space="preserve"> - П</w:t>
      </w:r>
      <w:r>
        <w:rPr>
          <w:vertAlign w:val="subscript"/>
        </w:rPr>
        <w:t>мин</w:t>
      </w:r>
      <w:r>
        <w:t>),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lastRenderedPageBreak/>
        <w:t>П</w:t>
      </w:r>
      <w:r>
        <w:rPr>
          <w:vertAlign w:val="subscript"/>
        </w:rPr>
        <w:t>i</w:t>
      </w:r>
      <w:r>
        <w:t xml:space="preserve"> - значение соответствующего показателя муниципального образования;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мин</w:t>
      </w:r>
      <w:r>
        <w:t xml:space="preserve"> - минимальное значение соответствующего показателя среди муниципальных образований;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П</w:t>
      </w:r>
      <w:r>
        <w:rPr>
          <w:vertAlign w:val="subscript"/>
        </w:rPr>
        <w:t>макс</w:t>
      </w:r>
      <w:r>
        <w:t xml:space="preserve"> - максимальное значение соответствующего показателя среди муниципальных образований.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4" w:name="P702"/>
      <w:bookmarkEnd w:id="64"/>
      <w:r>
        <w:t>5. Итоговая сумма баллов конкурсной заявки (К</w:t>
      </w:r>
      <w:r>
        <w:rPr>
          <w:vertAlign w:val="subscript"/>
        </w:rPr>
        <w:t>регi</w:t>
      </w:r>
      <w:r>
        <w:t>) определяется по следующей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t>К</w:t>
      </w:r>
      <w:r>
        <w:rPr>
          <w:vertAlign w:val="subscript"/>
        </w:rPr>
        <w:t>регi</w:t>
      </w:r>
      <w:r>
        <w:t xml:space="preserve"> = 0,2 x К</w:t>
      </w:r>
      <w:r>
        <w:rPr>
          <w:vertAlign w:val="subscript"/>
        </w:rPr>
        <w:t>1i</w:t>
      </w:r>
      <w:r>
        <w:t xml:space="preserve"> + 0,2 x К</w:t>
      </w:r>
      <w:r>
        <w:rPr>
          <w:vertAlign w:val="subscript"/>
        </w:rPr>
        <w:t>2i</w:t>
      </w:r>
      <w:r>
        <w:t xml:space="preserve"> + 0,6 x К</w:t>
      </w:r>
      <w:r>
        <w:rPr>
          <w:vertAlign w:val="subscript"/>
        </w:rPr>
        <w:t>3i</w:t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регi</w:t>
      </w:r>
      <w:r>
        <w:t xml:space="preserve"> - итоговая сумма баллов конкурсной заявки по i-му муниципальному образованию на региональном этапе;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1i</w:t>
      </w:r>
      <w:r>
        <w:t xml:space="preserve"> - итоговая сумма коэффициентов по </w:t>
      </w:r>
      <w:hyperlink w:anchor="P97">
        <w:r>
          <w:rPr>
            <w:color w:val="0000FF"/>
          </w:rPr>
          <w:t>разделу 1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2i</w:t>
      </w:r>
      <w:r>
        <w:t xml:space="preserve"> - итоговая сумма коэффициентов по </w:t>
      </w:r>
      <w:hyperlink w:anchor="P193">
        <w:r>
          <w:rPr>
            <w:color w:val="0000FF"/>
          </w:rPr>
          <w:t>разделу 2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3i</w:t>
      </w:r>
      <w:r>
        <w:t xml:space="preserve"> - итоговая сумма коэффициентов по </w:t>
      </w:r>
      <w:hyperlink w:anchor="P295">
        <w:r>
          <w:rPr>
            <w:color w:val="0000FF"/>
          </w:rPr>
          <w:t>разделу 3</w:t>
        </w:r>
      </w:hyperlink>
      <w:r>
        <w:t xml:space="preserve"> показателей, характеризующих деятельность органа местного самоуправления.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5" w:name="P711"/>
      <w:bookmarkEnd w:id="65"/>
      <w:r>
        <w:t xml:space="preserve">6. Итоговая сумма коэффициентов по </w:t>
      </w:r>
      <w:hyperlink w:anchor="P97">
        <w:r>
          <w:rPr>
            <w:color w:val="0000FF"/>
          </w:rPr>
          <w:t>разделу 1</w:t>
        </w:r>
      </w:hyperlink>
      <w:r>
        <w:t xml:space="preserve"> показателей, характеризующих деятельность органа местного самоуправления (К</w:t>
      </w:r>
      <w:r>
        <w:rPr>
          <w:vertAlign w:val="subscript"/>
        </w:rPr>
        <w:t>1i</w:t>
      </w:r>
      <w:r>
        <w:t>), рассчитывается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3646170" cy="42989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11i</w:t>
      </w:r>
      <w:r>
        <w:t>, U</w:t>
      </w:r>
      <w:r>
        <w:rPr>
          <w:vertAlign w:val="subscript"/>
        </w:rPr>
        <w:t>12i</w:t>
      </w:r>
      <w:r>
        <w:t>, U</w:t>
      </w:r>
      <w:r>
        <w:rPr>
          <w:vertAlign w:val="subscript"/>
        </w:rPr>
        <w:t>13i</w:t>
      </w:r>
      <w:r>
        <w:t>, U</w:t>
      </w:r>
      <w:r>
        <w:rPr>
          <w:vertAlign w:val="subscript"/>
        </w:rPr>
        <w:t>14i</w:t>
      </w:r>
      <w:r>
        <w:t>, U</w:t>
      </w:r>
      <w:r>
        <w:rPr>
          <w:vertAlign w:val="subscript"/>
        </w:rPr>
        <w:t>15i</w:t>
      </w:r>
      <w:r>
        <w:t>, U</w:t>
      </w:r>
      <w:r>
        <w:rPr>
          <w:vertAlign w:val="subscript"/>
        </w:rPr>
        <w:t>16i</w:t>
      </w:r>
      <w:r>
        <w:t>, U</w:t>
      </w:r>
      <w:r>
        <w:rPr>
          <w:vertAlign w:val="subscript"/>
        </w:rPr>
        <w:t>17i</w:t>
      </w:r>
      <w:r>
        <w:t>, U</w:t>
      </w:r>
      <w:r>
        <w:rPr>
          <w:vertAlign w:val="subscript"/>
        </w:rPr>
        <w:t>18i</w:t>
      </w:r>
      <w:r>
        <w:t xml:space="preserve"> - индексы показателей, соответствующие </w:t>
      </w:r>
      <w:hyperlink w:anchor="P98">
        <w:r>
          <w:rPr>
            <w:color w:val="0000FF"/>
          </w:rPr>
          <w:t>пунктам 1.1</w:t>
        </w:r>
      </w:hyperlink>
      <w:r>
        <w:t xml:space="preserve">, </w:t>
      </w:r>
      <w:hyperlink w:anchor="P109">
        <w:r>
          <w:rPr>
            <w:color w:val="0000FF"/>
          </w:rPr>
          <w:t>1.2</w:t>
        </w:r>
      </w:hyperlink>
      <w:r>
        <w:t xml:space="preserve">, </w:t>
      </w:r>
      <w:hyperlink w:anchor="P125">
        <w:r>
          <w:rPr>
            <w:color w:val="0000FF"/>
          </w:rPr>
          <w:t>1.3</w:t>
        </w:r>
      </w:hyperlink>
      <w:r>
        <w:t xml:space="preserve">, </w:t>
      </w:r>
      <w:hyperlink w:anchor="P136">
        <w:r>
          <w:rPr>
            <w:color w:val="0000FF"/>
          </w:rPr>
          <w:t>1.4</w:t>
        </w:r>
      </w:hyperlink>
      <w:r>
        <w:t xml:space="preserve">, </w:t>
      </w:r>
      <w:hyperlink w:anchor="P152">
        <w:r>
          <w:rPr>
            <w:color w:val="0000FF"/>
          </w:rPr>
          <w:t>1.5</w:t>
        </w:r>
      </w:hyperlink>
      <w:r>
        <w:t xml:space="preserve">, </w:t>
      </w:r>
      <w:hyperlink w:anchor="P163">
        <w:r>
          <w:rPr>
            <w:color w:val="0000FF"/>
          </w:rPr>
          <w:t>1.6</w:t>
        </w:r>
      </w:hyperlink>
      <w:r>
        <w:t xml:space="preserve">, </w:t>
      </w:r>
      <w:hyperlink w:anchor="P173">
        <w:r>
          <w:rPr>
            <w:color w:val="0000FF"/>
          </w:rPr>
          <w:t>1.7</w:t>
        </w:r>
      </w:hyperlink>
      <w:r>
        <w:t xml:space="preserve"> и </w:t>
      </w:r>
      <w:hyperlink w:anchor="P183">
        <w:r>
          <w:rPr>
            <w:color w:val="0000FF"/>
          </w:rPr>
          <w:t>1.8</w:t>
        </w:r>
      </w:hyperlink>
      <w:r>
        <w:t xml:space="preserve"> показателей, характеризующих деятельность органа местного самоуправления.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6" w:name="P717"/>
      <w:bookmarkEnd w:id="66"/>
      <w:r>
        <w:t xml:space="preserve">7. Итоговая сумма коэффициентов по </w:t>
      </w:r>
      <w:hyperlink w:anchor="P193">
        <w:r>
          <w:rPr>
            <w:color w:val="0000FF"/>
          </w:rPr>
          <w:t>разделу 2</w:t>
        </w:r>
      </w:hyperlink>
      <w:r>
        <w:t xml:space="preserve"> показателей, характеризующих деятельность органа местного самоуправления (К</w:t>
      </w:r>
      <w:r>
        <w:rPr>
          <w:vertAlign w:val="subscript"/>
        </w:rPr>
        <w:t>2i</w:t>
      </w:r>
      <w:r>
        <w:t>), рассчитывается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4652010" cy="42989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01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21i</w:t>
      </w:r>
      <w:r>
        <w:t>, U</w:t>
      </w:r>
      <w:r>
        <w:rPr>
          <w:vertAlign w:val="subscript"/>
        </w:rPr>
        <w:t>22i</w:t>
      </w:r>
      <w:r>
        <w:t>, U</w:t>
      </w:r>
      <w:r>
        <w:rPr>
          <w:vertAlign w:val="subscript"/>
        </w:rPr>
        <w:t>23i</w:t>
      </w:r>
      <w:r>
        <w:t>, U</w:t>
      </w:r>
      <w:r>
        <w:rPr>
          <w:vertAlign w:val="subscript"/>
        </w:rPr>
        <w:t>24i</w:t>
      </w:r>
      <w:r>
        <w:t>, U</w:t>
      </w:r>
      <w:r>
        <w:rPr>
          <w:vertAlign w:val="subscript"/>
        </w:rPr>
        <w:t>25i</w:t>
      </w:r>
      <w:r>
        <w:t>, U</w:t>
      </w:r>
      <w:r>
        <w:rPr>
          <w:vertAlign w:val="subscript"/>
        </w:rPr>
        <w:t>26i</w:t>
      </w:r>
      <w:r>
        <w:t>, U</w:t>
      </w:r>
      <w:r>
        <w:rPr>
          <w:vertAlign w:val="subscript"/>
        </w:rPr>
        <w:t>27i</w:t>
      </w:r>
      <w:r>
        <w:t>, U</w:t>
      </w:r>
      <w:r>
        <w:rPr>
          <w:vertAlign w:val="subscript"/>
        </w:rPr>
        <w:t>28i</w:t>
      </w:r>
      <w:r>
        <w:t>, U</w:t>
      </w:r>
      <w:r>
        <w:rPr>
          <w:vertAlign w:val="subscript"/>
        </w:rPr>
        <w:t>29i</w:t>
      </w:r>
      <w:r>
        <w:t>, U</w:t>
      </w:r>
      <w:r>
        <w:rPr>
          <w:vertAlign w:val="subscript"/>
        </w:rPr>
        <w:t>210i</w:t>
      </w:r>
      <w:r>
        <w:t xml:space="preserve"> - индексы показателей, соответствующие </w:t>
      </w:r>
      <w:hyperlink w:anchor="P194">
        <w:r>
          <w:rPr>
            <w:color w:val="0000FF"/>
          </w:rPr>
          <w:t>пунктам 2.1</w:t>
        </w:r>
      </w:hyperlink>
      <w:r>
        <w:t xml:space="preserve">, </w:t>
      </w:r>
      <w:hyperlink w:anchor="P205">
        <w:r>
          <w:rPr>
            <w:color w:val="0000FF"/>
          </w:rPr>
          <w:t>2.2</w:t>
        </w:r>
      </w:hyperlink>
      <w:r>
        <w:t xml:space="preserve">, </w:t>
      </w:r>
      <w:hyperlink w:anchor="P215">
        <w:r>
          <w:rPr>
            <w:color w:val="0000FF"/>
          </w:rPr>
          <w:t>2.3</w:t>
        </w:r>
      </w:hyperlink>
      <w:r>
        <w:t xml:space="preserve">, </w:t>
      </w:r>
      <w:hyperlink w:anchor="P225">
        <w:r>
          <w:rPr>
            <w:color w:val="0000FF"/>
          </w:rPr>
          <w:t>2.4</w:t>
        </w:r>
      </w:hyperlink>
      <w:r>
        <w:t xml:space="preserve">, </w:t>
      </w:r>
      <w:hyperlink w:anchor="P235">
        <w:r>
          <w:rPr>
            <w:color w:val="0000FF"/>
          </w:rPr>
          <w:t>2.5</w:t>
        </w:r>
      </w:hyperlink>
      <w:r>
        <w:t xml:space="preserve">, </w:t>
      </w:r>
      <w:hyperlink w:anchor="P245">
        <w:r>
          <w:rPr>
            <w:color w:val="0000FF"/>
          </w:rPr>
          <w:t>2.6</w:t>
        </w:r>
      </w:hyperlink>
      <w:r>
        <w:t xml:space="preserve">, </w:t>
      </w:r>
      <w:hyperlink w:anchor="P255">
        <w:r>
          <w:rPr>
            <w:color w:val="0000FF"/>
          </w:rPr>
          <w:t>2.7</w:t>
        </w:r>
      </w:hyperlink>
      <w:r>
        <w:t xml:space="preserve">, </w:t>
      </w:r>
      <w:hyperlink w:anchor="P265">
        <w:r>
          <w:rPr>
            <w:color w:val="0000FF"/>
          </w:rPr>
          <w:t>2.8</w:t>
        </w:r>
      </w:hyperlink>
      <w:r>
        <w:t xml:space="preserve">, </w:t>
      </w:r>
      <w:hyperlink w:anchor="P275">
        <w:r>
          <w:rPr>
            <w:color w:val="0000FF"/>
          </w:rPr>
          <w:t>2.9</w:t>
        </w:r>
      </w:hyperlink>
      <w:r>
        <w:t xml:space="preserve"> и </w:t>
      </w:r>
      <w:hyperlink w:anchor="P285">
        <w:r>
          <w:rPr>
            <w:color w:val="0000FF"/>
          </w:rPr>
          <w:t>2.10</w:t>
        </w:r>
      </w:hyperlink>
      <w:r>
        <w:t xml:space="preserve"> показателей, характеризующих деятельность органа местного самоуправления.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7" w:name="P723"/>
      <w:bookmarkEnd w:id="67"/>
      <w:r>
        <w:t xml:space="preserve">8. Итоговая сумма коэффициентов по </w:t>
      </w:r>
      <w:hyperlink w:anchor="P295">
        <w:r>
          <w:rPr>
            <w:color w:val="0000FF"/>
          </w:rPr>
          <w:t>разделу 3</w:t>
        </w:r>
      </w:hyperlink>
      <w:r>
        <w:t xml:space="preserve"> показателей, характеризующих деятельность органа местного самоуправления (К</w:t>
      </w:r>
      <w:r>
        <w:rPr>
          <w:vertAlign w:val="subscript"/>
        </w:rPr>
        <w:t>3</w:t>
      </w:r>
      <w:r>
        <w:t>), рассчитывается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6"/>
        </w:rPr>
        <w:lastRenderedPageBreak/>
        <w:drawing>
          <wp:inline distT="0" distB="0" distL="0" distR="0">
            <wp:extent cx="1540510" cy="47180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31i</w:t>
      </w:r>
      <w:r>
        <w:t xml:space="preserve"> - итоговая сумма коэффициентов по </w:t>
      </w:r>
      <w:hyperlink w:anchor="P296">
        <w:r>
          <w:rPr>
            <w:color w:val="0000FF"/>
          </w:rPr>
          <w:t>подразделу 3.1 раздела 3</w:t>
        </w:r>
      </w:hyperlink>
      <w:r>
        <w:t xml:space="preserve"> показателей, характеризующих деятельность органа местного самоуправления, рассчитываемая по формулам, различающимся в зависимости от категории (I категория - муниципальные округа, городские округа (городские округа с внутригородским делением) и городские поселения, II категория - сельские поселения):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для практик I категории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3688080" cy="42989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311i</w:t>
      </w:r>
      <w:r>
        <w:t>, U</w:t>
      </w:r>
      <w:r>
        <w:rPr>
          <w:vertAlign w:val="subscript"/>
        </w:rPr>
        <w:t>312i</w:t>
      </w:r>
      <w:r>
        <w:t>, U</w:t>
      </w:r>
      <w:r>
        <w:rPr>
          <w:vertAlign w:val="subscript"/>
        </w:rPr>
        <w:t>313i</w:t>
      </w:r>
      <w:r>
        <w:t>, U</w:t>
      </w:r>
      <w:r>
        <w:rPr>
          <w:vertAlign w:val="subscript"/>
        </w:rPr>
        <w:t>314i</w:t>
      </w:r>
      <w:r>
        <w:t>, U</w:t>
      </w:r>
      <w:r>
        <w:rPr>
          <w:vertAlign w:val="subscript"/>
        </w:rPr>
        <w:t>315i</w:t>
      </w:r>
      <w:r>
        <w:t>, U</w:t>
      </w:r>
      <w:r>
        <w:rPr>
          <w:vertAlign w:val="subscript"/>
        </w:rPr>
        <w:t>316i</w:t>
      </w:r>
      <w:r>
        <w:t>, U</w:t>
      </w:r>
      <w:r>
        <w:rPr>
          <w:vertAlign w:val="subscript"/>
        </w:rPr>
        <w:t>317i</w:t>
      </w:r>
      <w:r>
        <w:t xml:space="preserve"> - индексы показателей, соответствующие </w:t>
      </w:r>
      <w:hyperlink w:anchor="P298">
        <w:r>
          <w:rPr>
            <w:color w:val="0000FF"/>
          </w:rPr>
          <w:t>пунктам 3.1.1</w:t>
        </w:r>
      </w:hyperlink>
      <w:r>
        <w:t xml:space="preserve">, </w:t>
      </w:r>
      <w:hyperlink w:anchor="P309">
        <w:r>
          <w:rPr>
            <w:color w:val="0000FF"/>
          </w:rPr>
          <w:t>3.1.2</w:t>
        </w:r>
      </w:hyperlink>
      <w:r>
        <w:t xml:space="preserve">, </w:t>
      </w:r>
      <w:hyperlink w:anchor="P320">
        <w:r>
          <w:rPr>
            <w:color w:val="0000FF"/>
          </w:rPr>
          <w:t>3.1.3</w:t>
        </w:r>
      </w:hyperlink>
      <w:r>
        <w:t xml:space="preserve">, </w:t>
      </w:r>
      <w:hyperlink w:anchor="P330">
        <w:r>
          <w:rPr>
            <w:color w:val="0000FF"/>
          </w:rPr>
          <w:t>3.1.4</w:t>
        </w:r>
      </w:hyperlink>
      <w:r>
        <w:t xml:space="preserve">, </w:t>
      </w:r>
      <w:hyperlink w:anchor="P341">
        <w:r>
          <w:rPr>
            <w:color w:val="0000FF"/>
          </w:rPr>
          <w:t>3.1.5</w:t>
        </w:r>
      </w:hyperlink>
      <w:r>
        <w:t xml:space="preserve">, </w:t>
      </w:r>
      <w:hyperlink w:anchor="P352">
        <w:r>
          <w:rPr>
            <w:color w:val="0000FF"/>
          </w:rPr>
          <w:t>3.1.6</w:t>
        </w:r>
      </w:hyperlink>
      <w:r>
        <w:t xml:space="preserve"> и </w:t>
      </w:r>
      <w:hyperlink w:anchor="P378">
        <w:r>
          <w:rPr>
            <w:color w:val="0000FF"/>
          </w:rPr>
          <w:t>3.1.7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для практик II категории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3216910" cy="42989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311i</w:t>
      </w:r>
      <w:r>
        <w:t>, U</w:t>
      </w:r>
      <w:r>
        <w:rPr>
          <w:vertAlign w:val="subscript"/>
        </w:rPr>
        <w:t>312i</w:t>
      </w:r>
      <w:r>
        <w:t>, U</w:t>
      </w:r>
      <w:r>
        <w:rPr>
          <w:vertAlign w:val="subscript"/>
        </w:rPr>
        <w:t>313i</w:t>
      </w:r>
      <w:r>
        <w:t>, U</w:t>
      </w:r>
      <w:r>
        <w:rPr>
          <w:vertAlign w:val="subscript"/>
        </w:rPr>
        <w:t>314i</w:t>
      </w:r>
      <w:r>
        <w:t>, U</w:t>
      </w:r>
      <w:r>
        <w:rPr>
          <w:vertAlign w:val="subscript"/>
        </w:rPr>
        <w:t>315i</w:t>
      </w:r>
      <w:r>
        <w:t>, U</w:t>
      </w:r>
      <w:r>
        <w:rPr>
          <w:vertAlign w:val="subscript"/>
        </w:rPr>
        <w:t>317i</w:t>
      </w:r>
      <w:r>
        <w:t xml:space="preserve"> - индексы показателей, соответствующие </w:t>
      </w:r>
      <w:hyperlink w:anchor="P298">
        <w:r>
          <w:rPr>
            <w:color w:val="0000FF"/>
          </w:rPr>
          <w:t>пунктам 3.1.1</w:t>
        </w:r>
      </w:hyperlink>
      <w:r>
        <w:t xml:space="preserve">, </w:t>
      </w:r>
      <w:hyperlink w:anchor="P309">
        <w:r>
          <w:rPr>
            <w:color w:val="0000FF"/>
          </w:rPr>
          <w:t>3.1.2</w:t>
        </w:r>
      </w:hyperlink>
      <w:r>
        <w:t xml:space="preserve">, </w:t>
      </w:r>
      <w:hyperlink w:anchor="P320">
        <w:r>
          <w:rPr>
            <w:color w:val="0000FF"/>
          </w:rPr>
          <w:t>3.1.3</w:t>
        </w:r>
      </w:hyperlink>
      <w:r>
        <w:t xml:space="preserve">, </w:t>
      </w:r>
      <w:hyperlink w:anchor="P330">
        <w:r>
          <w:rPr>
            <w:color w:val="0000FF"/>
          </w:rPr>
          <w:t>3.1.4</w:t>
        </w:r>
      </w:hyperlink>
      <w:r>
        <w:t xml:space="preserve">, </w:t>
      </w:r>
      <w:hyperlink w:anchor="P341">
        <w:r>
          <w:rPr>
            <w:color w:val="0000FF"/>
          </w:rPr>
          <w:t>3.1.5</w:t>
        </w:r>
      </w:hyperlink>
      <w:r>
        <w:t xml:space="preserve"> и </w:t>
      </w:r>
      <w:hyperlink w:anchor="P378">
        <w:r>
          <w:rPr>
            <w:color w:val="0000FF"/>
          </w:rPr>
          <w:t>3.1.7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32i</w:t>
      </w:r>
      <w:r>
        <w:t xml:space="preserve"> - итоговая сумма коэффициентов по </w:t>
      </w:r>
      <w:hyperlink w:anchor="P394">
        <w:r>
          <w:rPr>
            <w:color w:val="0000FF"/>
          </w:rPr>
          <w:t>подразделу 3.2 раздела 3</w:t>
        </w:r>
      </w:hyperlink>
      <w:r>
        <w:t xml:space="preserve"> показателей, характеризующих деятельность органа местного самоуправления, рассчитываемая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45"/>
        </w:rPr>
        <w:drawing>
          <wp:inline distT="0" distB="0" distL="0" distR="0">
            <wp:extent cx="3782695" cy="72326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Крег - оценка конкурсной заявки на региональном этапе;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321i</w:t>
      </w:r>
      <w:r>
        <w:t>, U</w:t>
      </w:r>
      <w:r>
        <w:rPr>
          <w:vertAlign w:val="subscript"/>
        </w:rPr>
        <w:t>322i</w:t>
      </w:r>
      <w:r>
        <w:t>, U</w:t>
      </w:r>
      <w:r>
        <w:rPr>
          <w:vertAlign w:val="subscript"/>
        </w:rPr>
        <w:t>323i</w:t>
      </w:r>
      <w:r>
        <w:t>, U</w:t>
      </w:r>
      <w:r>
        <w:rPr>
          <w:vertAlign w:val="subscript"/>
        </w:rPr>
        <w:t>324i</w:t>
      </w:r>
      <w:r>
        <w:t>, U</w:t>
      </w:r>
      <w:r>
        <w:rPr>
          <w:vertAlign w:val="subscript"/>
        </w:rPr>
        <w:t>325i</w:t>
      </w:r>
      <w:r>
        <w:t>, U</w:t>
      </w:r>
      <w:r>
        <w:rPr>
          <w:vertAlign w:val="subscript"/>
        </w:rPr>
        <w:t>326i</w:t>
      </w:r>
      <w:r>
        <w:t>, U</w:t>
      </w:r>
      <w:r>
        <w:rPr>
          <w:vertAlign w:val="subscript"/>
        </w:rPr>
        <w:t>327i</w:t>
      </w:r>
      <w:r>
        <w:t>, U</w:t>
      </w:r>
      <w:r>
        <w:rPr>
          <w:vertAlign w:val="subscript"/>
        </w:rPr>
        <w:t>328i</w:t>
      </w:r>
      <w:r>
        <w:t>, U</w:t>
      </w:r>
      <w:r>
        <w:rPr>
          <w:vertAlign w:val="subscript"/>
        </w:rPr>
        <w:t>329i</w:t>
      </w:r>
      <w:r>
        <w:t>, U</w:t>
      </w:r>
      <w:r>
        <w:rPr>
          <w:vertAlign w:val="subscript"/>
        </w:rPr>
        <w:t>3210i</w:t>
      </w:r>
      <w:r>
        <w:t>, U</w:t>
      </w:r>
      <w:r>
        <w:rPr>
          <w:vertAlign w:val="subscript"/>
        </w:rPr>
        <w:t>3211i</w:t>
      </w:r>
      <w:r>
        <w:t>, U</w:t>
      </w:r>
      <w:r>
        <w:rPr>
          <w:vertAlign w:val="subscript"/>
        </w:rPr>
        <w:t>3212i</w:t>
      </w:r>
      <w:r>
        <w:t xml:space="preserve"> - индексы показателей, соответствующие </w:t>
      </w:r>
      <w:hyperlink w:anchor="P396">
        <w:r>
          <w:rPr>
            <w:color w:val="0000FF"/>
          </w:rPr>
          <w:t>пунктам 3.2.1</w:t>
        </w:r>
      </w:hyperlink>
      <w:r>
        <w:t xml:space="preserve">, </w:t>
      </w:r>
      <w:hyperlink w:anchor="P404">
        <w:r>
          <w:rPr>
            <w:color w:val="0000FF"/>
          </w:rPr>
          <w:t>3.2.2</w:t>
        </w:r>
      </w:hyperlink>
      <w:r>
        <w:t xml:space="preserve">, </w:t>
      </w:r>
      <w:hyperlink w:anchor="P415">
        <w:r>
          <w:rPr>
            <w:color w:val="0000FF"/>
          </w:rPr>
          <w:t>3.2.3</w:t>
        </w:r>
      </w:hyperlink>
      <w:r>
        <w:t xml:space="preserve">, </w:t>
      </w:r>
      <w:hyperlink w:anchor="P425">
        <w:r>
          <w:rPr>
            <w:color w:val="0000FF"/>
          </w:rPr>
          <w:t>3.2.4</w:t>
        </w:r>
      </w:hyperlink>
      <w:r>
        <w:t xml:space="preserve">, </w:t>
      </w:r>
      <w:hyperlink w:anchor="P436">
        <w:r>
          <w:rPr>
            <w:color w:val="0000FF"/>
          </w:rPr>
          <w:t>3.2.5</w:t>
        </w:r>
      </w:hyperlink>
      <w:r>
        <w:t xml:space="preserve">, </w:t>
      </w:r>
      <w:hyperlink w:anchor="P446">
        <w:r>
          <w:rPr>
            <w:color w:val="0000FF"/>
          </w:rPr>
          <w:t>3.2.6</w:t>
        </w:r>
      </w:hyperlink>
      <w:r>
        <w:t xml:space="preserve">, </w:t>
      </w:r>
      <w:hyperlink w:anchor="P457">
        <w:r>
          <w:rPr>
            <w:color w:val="0000FF"/>
          </w:rPr>
          <w:t>3.2.7</w:t>
        </w:r>
      </w:hyperlink>
      <w:r>
        <w:t xml:space="preserve">, </w:t>
      </w:r>
      <w:hyperlink w:anchor="P468">
        <w:r>
          <w:rPr>
            <w:color w:val="0000FF"/>
          </w:rPr>
          <w:t>3.2.8</w:t>
        </w:r>
      </w:hyperlink>
      <w:r>
        <w:t xml:space="preserve">, </w:t>
      </w:r>
      <w:hyperlink w:anchor="P478">
        <w:r>
          <w:rPr>
            <w:color w:val="0000FF"/>
          </w:rPr>
          <w:t>3.2.9</w:t>
        </w:r>
      </w:hyperlink>
      <w:r>
        <w:t xml:space="preserve">, </w:t>
      </w:r>
      <w:hyperlink w:anchor="P488">
        <w:r>
          <w:rPr>
            <w:color w:val="0000FF"/>
          </w:rPr>
          <w:t>3.2.10</w:t>
        </w:r>
      </w:hyperlink>
      <w:r>
        <w:t xml:space="preserve">, </w:t>
      </w:r>
      <w:hyperlink w:anchor="P492">
        <w:r>
          <w:rPr>
            <w:color w:val="0000FF"/>
          </w:rPr>
          <w:t>3.2.11</w:t>
        </w:r>
      </w:hyperlink>
      <w:r>
        <w:t xml:space="preserve">, </w:t>
      </w:r>
      <w:hyperlink w:anchor="P496">
        <w:r>
          <w:rPr>
            <w:color w:val="0000FF"/>
          </w:rPr>
          <w:t>3.2.12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</w:t>
      </w:r>
      <w:r>
        <w:rPr>
          <w:vertAlign w:val="subscript"/>
        </w:rPr>
        <w:t>33i</w:t>
      </w:r>
      <w:r>
        <w:t xml:space="preserve"> - итоговая сумма коэффициентов по </w:t>
      </w:r>
      <w:hyperlink w:anchor="P500">
        <w:r>
          <w:rPr>
            <w:color w:val="0000FF"/>
          </w:rPr>
          <w:t>подразделу 3.3 раздела 3</w:t>
        </w:r>
      </w:hyperlink>
      <w:r>
        <w:t xml:space="preserve"> показателей, характеризующих деятельность органа местного самоуправления, рассчитываемая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44"/>
        </w:rPr>
        <w:lastRenderedPageBreak/>
        <w:drawing>
          <wp:inline distT="0" distB="0" distL="0" distR="0">
            <wp:extent cx="4034155" cy="70231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U</w:t>
      </w:r>
      <w:r>
        <w:rPr>
          <w:vertAlign w:val="subscript"/>
        </w:rPr>
        <w:t>331i</w:t>
      </w:r>
      <w:r>
        <w:t>, U</w:t>
      </w:r>
      <w:r>
        <w:rPr>
          <w:vertAlign w:val="subscript"/>
        </w:rPr>
        <w:t>332i</w:t>
      </w:r>
      <w:r>
        <w:t>, U</w:t>
      </w:r>
      <w:r>
        <w:rPr>
          <w:vertAlign w:val="subscript"/>
        </w:rPr>
        <w:t>333i</w:t>
      </w:r>
      <w:r>
        <w:t>, U</w:t>
      </w:r>
      <w:r>
        <w:rPr>
          <w:vertAlign w:val="subscript"/>
        </w:rPr>
        <w:t>334i</w:t>
      </w:r>
      <w:r>
        <w:t>, U</w:t>
      </w:r>
      <w:r>
        <w:rPr>
          <w:vertAlign w:val="subscript"/>
        </w:rPr>
        <w:t>335i</w:t>
      </w:r>
      <w:r>
        <w:t>, U</w:t>
      </w:r>
      <w:r>
        <w:rPr>
          <w:vertAlign w:val="subscript"/>
        </w:rPr>
        <w:t>336i</w:t>
      </w:r>
      <w:r>
        <w:t>, U</w:t>
      </w:r>
      <w:r>
        <w:rPr>
          <w:vertAlign w:val="subscript"/>
        </w:rPr>
        <w:t>337i</w:t>
      </w:r>
      <w:r>
        <w:t>, U</w:t>
      </w:r>
      <w:r>
        <w:rPr>
          <w:vertAlign w:val="subscript"/>
        </w:rPr>
        <w:t>338i</w:t>
      </w:r>
      <w:r>
        <w:t>, U</w:t>
      </w:r>
      <w:r>
        <w:rPr>
          <w:vertAlign w:val="subscript"/>
        </w:rPr>
        <w:t>339i</w:t>
      </w:r>
      <w:r>
        <w:t>, U</w:t>
      </w:r>
      <w:r>
        <w:rPr>
          <w:vertAlign w:val="subscript"/>
        </w:rPr>
        <w:t>3310i</w:t>
      </w:r>
      <w:r>
        <w:t>, U</w:t>
      </w:r>
      <w:r>
        <w:rPr>
          <w:vertAlign w:val="subscript"/>
        </w:rPr>
        <w:t>3311i</w:t>
      </w:r>
      <w:r>
        <w:t>, U</w:t>
      </w:r>
      <w:r>
        <w:rPr>
          <w:vertAlign w:val="subscript"/>
        </w:rPr>
        <w:t>3312i</w:t>
      </w:r>
      <w:r>
        <w:t>, U</w:t>
      </w:r>
      <w:r>
        <w:rPr>
          <w:vertAlign w:val="subscript"/>
        </w:rPr>
        <w:t>3313i</w:t>
      </w:r>
      <w:r>
        <w:t>, U</w:t>
      </w:r>
      <w:r>
        <w:rPr>
          <w:vertAlign w:val="subscript"/>
        </w:rPr>
        <w:t>3314i</w:t>
      </w:r>
      <w:r>
        <w:t xml:space="preserve"> - индексы показателей, соответствующие </w:t>
      </w:r>
      <w:hyperlink w:anchor="P502">
        <w:r>
          <w:rPr>
            <w:color w:val="0000FF"/>
          </w:rPr>
          <w:t>пунктам 3.3.1</w:t>
        </w:r>
      </w:hyperlink>
      <w:r>
        <w:t xml:space="preserve">, </w:t>
      </w:r>
      <w:hyperlink w:anchor="P512">
        <w:r>
          <w:rPr>
            <w:color w:val="0000FF"/>
          </w:rPr>
          <w:t>3.3.2</w:t>
        </w:r>
      </w:hyperlink>
      <w:r>
        <w:t xml:space="preserve">, </w:t>
      </w:r>
      <w:hyperlink w:anchor="P522">
        <w:r>
          <w:rPr>
            <w:color w:val="0000FF"/>
          </w:rPr>
          <w:t>3.3.3</w:t>
        </w:r>
      </w:hyperlink>
      <w:r>
        <w:t xml:space="preserve">, </w:t>
      </w:r>
      <w:hyperlink w:anchor="P526">
        <w:r>
          <w:rPr>
            <w:color w:val="0000FF"/>
          </w:rPr>
          <w:t>3.3.4</w:t>
        </w:r>
      </w:hyperlink>
      <w:r>
        <w:t xml:space="preserve">, </w:t>
      </w:r>
      <w:hyperlink w:anchor="P537">
        <w:r>
          <w:rPr>
            <w:color w:val="0000FF"/>
          </w:rPr>
          <w:t>3.3.5</w:t>
        </w:r>
      </w:hyperlink>
      <w:r>
        <w:t xml:space="preserve">, </w:t>
      </w:r>
      <w:hyperlink w:anchor="P547">
        <w:r>
          <w:rPr>
            <w:color w:val="0000FF"/>
          </w:rPr>
          <w:t>3.3.6</w:t>
        </w:r>
      </w:hyperlink>
      <w:r>
        <w:t xml:space="preserve">, </w:t>
      </w:r>
      <w:hyperlink w:anchor="P558">
        <w:r>
          <w:rPr>
            <w:color w:val="0000FF"/>
          </w:rPr>
          <w:t>3.3.7</w:t>
        </w:r>
      </w:hyperlink>
      <w:r>
        <w:t xml:space="preserve">, </w:t>
      </w:r>
      <w:hyperlink w:anchor="P568">
        <w:r>
          <w:rPr>
            <w:color w:val="0000FF"/>
          </w:rPr>
          <w:t>3.3.8</w:t>
        </w:r>
      </w:hyperlink>
      <w:r>
        <w:t xml:space="preserve">, </w:t>
      </w:r>
      <w:hyperlink w:anchor="P574">
        <w:r>
          <w:rPr>
            <w:color w:val="0000FF"/>
          </w:rPr>
          <w:t>3.3.9</w:t>
        </w:r>
      </w:hyperlink>
      <w:r>
        <w:t xml:space="preserve">, </w:t>
      </w:r>
      <w:hyperlink w:anchor="P586">
        <w:r>
          <w:rPr>
            <w:color w:val="0000FF"/>
          </w:rPr>
          <w:t>3.3.10</w:t>
        </w:r>
      </w:hyperlink>
      <w:r>
        <w:t xml:space="preserve">, </w:t>
      </w:r>
      <w:hyperlink w:anchor="P596">
        <w:r>
          <w:rPr>
            <w:color w:val="0000FF"/>
          </w:rPr>
          <w:t>3.3.11</w:t>
        </w:r>
      </w:hyperlink>
      <w:r>
        <w:t xml:space="preserve">, </w:t>
      </w:r>
      <w:hyperlink w:anchor="P606">
        <w:r>
          <w:rPr>
            <w:color w:val="0000FF"/>
          </w:rPr>
          <w:t>3.3.12</w:t>
        </w:r>
      </w:hyperlink>
      <w:r>
        <w:t xml:space="preserve">, </w:t>
      </w:r>
      <w:hyperlink w:anchor="P616">
        <w:r>
          <w:rPr>
            <w:color w:val="0000FF"/>
          </w:rPr>
          <w:t>3.3.13</w:t>
        </w:r>
      </w:hyperlink>
      <w:r>
        <w:t xml:space="preserve"> и </w:t>
      </w:r>
      <w:hyperlink w:anchor="P626">
        <w:r>
          <w:rPr>
            <w:color w:val="0000FF"/>
          </w:rPr>
          <w:t>3.3.14</w:t>
        </w:r>
      </w:hyperlink>
      <w:r>
        <w:t xml:space="preserve"> показателей, характеризующих деятельность органа местного самоуправления;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A</w:t>
      </w:r>
      <w:r>
        <w:rPr>
          <w:vertAlign w:val="subscript"/>
        </w:rPr>
        <w:t>31i</w:t>
      </w:r>
      <w:r>
        <w:t xml:space="preserve"> - коэффициент, равный 1, если конкурсная заявка i-го муниципального образования подана по направлению "Инвестиции", 0 - в противном случае;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A</w:t>
      </w:r>
      <w:r>
        <w:rPr>
          <w:vertAlign w:val="subscript"/>
        </w:rPr>
        <w:t>32i</w:t>
      </w:r>
      <w:r>
        <w:t xml:space="preserve"> - коэффициент, равный 1, если конкурсная заявка i-го муниципального образования подана по направлению "Управление имуществом и инфраструктурой", 0 - в противном случае;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A</w:t>
      </w:r>
      <w:r>
        <w:rPr>
          <w:vertAlign w:val="subscript"/>
        </w:rPr>
        <w:t>33i</w:t>
      </w:r>
      <w:r>
        <w:t xml:space="preserve"> - коэффициент, равный 1, если конкурсная заявка i-го муниципального образования подана по направлению "Новые источники доходов бюджета и управление муниципальными заимствованиями", 0 - в противном случае.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9. Конкурсные заявки, поступившие в комиссию, распределяются по каждой категории участников конкурса с использованием формул, предусмотренных </w:t>
      </w:r>
      <w:hyperlink w:anchor="P683">
        <w:r>
          <w:rPr>
            <w:color w:val="0000FF"/>
          </w:rPr>
          <w:t>пунктами 4</w:t>
        </w:r>
      </w:hyperlink>
      <w:r>
        <w:t xml:space="preserve">, </w:t>
      </w:r>
      <w:hyperlink w:anchor="P702">
        <w:r>
          <w:rPr>
            <w:color w:val="0000FF"/>
          </w:rPr>
          <w:t>5</w:t>
        </w:r>
      </w:hyperlink>
      <w:r>
        <w:t xml:space="preserve">, </w:t>
      </w:r>
      <w:hyperlink w:anchor="P711">
        <w:r>
          <w:rPr>
            <w:color w:val="0000FF"/>
          </w:rPr>
          <w:t>6</w:t>
        </w:r>
      </w:hyperlink>
      <w:r>
        <w:t xml:space="preserve">, </w:t>
      </w:r>
      <w:hyperlink w:anchor="P717">
        <w:r>
          <w:rPr>
            <w:color w:val="0000FF"/>
          </w:rPr>
          <w:t>7</w:t>
        </w:r>
      </w:hyperlink>
      <w:r>
        <w:t xml:space="preserve">, </w:t>
      </w:r>
      <w:hyperlink w:anchor="P723">
        <w:r>
          <w:rPr>
            <w:color w:val="0000FF"/>
          </w:rPr>
          <w:t>8</w:t>
        </w:r>
      </w:hyperlink>
      <w:r>
        <w:t xml:space="preserve"> настоящей Методики, по убыванию количества набранных баллов.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10. Оценка конкурсных заявок на федеральном этапе конкурса осуществляется в отношении 25 муниципальных образований в каждой категории участников конкурса, набравших в соответствии с </w:t>
      </w:r>
      <w:hyperlink w:anchor="P702">
        <w:r>
          <w:rPr>
            <w:color w:val="0000FF"/>
          </w:rPr>
          <w:t>пунктом 5</w:t>
        </w:r>
      </w:hyperlink>
      <w:r>
        <w:t xml:space="preserve"> настоящей Методики наибольшее количество баллов.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Оценка конкурсных заявок на федеральном этапе конкурса (Кфед) рассчитывается по формуле: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t>Кфед = Ксчет + 0,1 x Оэ,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Кфед - оценка конкурсной заявки на федеральном этапе;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Ксчет - количественная оценка конкурсной заявки, рассчитываемая идентично оценке конкурсной заявки на региональном этапе;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Оэ - значение качественной экспертной оценки конкурсной заявки, проводимой согласно </w:t>
      </w:r>
      <w:hyperlink w:anchor="P767">
        <w:r>
          <w:rPr>
            <w:color w:val="0000FF"/>
          </w:rPr>
          <w:t>пунктам 11</w:t>
        </w:r>
      </w:hyperlink>
      <w:r>
        <w:t xml:space="preserve"> и </w:t>
      </w:r>
      <w:hyperlink w:anchor="P776">
        <w:r>
          <w:rPr>
            <w:color w:val="0000FF"/>
          </w:rPr>
          <w:t>12</w:t>
        </w:r>
      </w:hyperlink>
      <w:r>
        <w:t xml:space="preserve"> настоящей Методики (далее - экспертная оценка).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8" w:name="P767"/>
      <w:bookmarkEnd w:id="68"/>
      <w:r>
        <w:t>11. Экспертная оценка осуществляется в соответствии с экспертными мнениями простого большинства членов подкомиссии федеральной конкурсной комиссии по организации и проведению Всероссийского конкурса "Лучшая муниципальная практика" по номинации "Повышение эффективности управления территорией муниципального образования" (Оэ</w:t>
      </w:r>
      <w:r>
        <w:rPr>
          <w:vertAlign w:val="subscript"/>
        </w:rPr>
        <w:t>i</w:t>
      </w:r>
      <w:r>
        <w:t>) (далее - подкомиссия) следующим образом: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963930" cy="47180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ind w:firstLine="540"/>
        <w:jc w:val="both"/>
      </w:pPr>
      <w:r>
        <w:t>где: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lastRenderedPageBreak/>
        <w:t>N - общее число опросных листов, заполненных членами подкомиссии;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P</w:t>
      </w:r>
      <w:r>
        <w:rPr>
          <w:vertAlign w:val="subscript"/>
        </w:rPr>
        <w:t>j</w:t>
      </w:r>
      <w:r>
        <w:t xml:space="preserve"> - значение экспертной оценки конкурсной заявки j-м членом подкомиссии (от 1 до 10 баллов; при этом лучшей, по мнению j-го члена подкомиссии, конкурсной заявке присваивается наибольшее количество баллов).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Выставление экспертной оценки осуществляется членами подкомиссии после ознакомления с презентацией конкурсной заявки, а также приобщенным к ней кратким описанием практики.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Конкурсные заявки, в презентации которых не содержится примеров практики повышения эффективности управления территорией в муниципальном образовании, не подлежат экспертной оценке.</w:t>
      </w:r>
    </w:p>
    <w:p w:rsidR="00C97833" w:rsidRDefault="00C97833">
      <w:pPr>
        <w:pStyle w:val="ConsPlusNormal"/>
        <w:spacing w:before="220"/>
        <w:ind w:firstLine="540"/>
        <w:jc w:val="both"/>
      </w:pPr>
      <w:bookmarkStart w:id="69" w:name="P776"/>
      <w:bookmarkEnd w:id="69"/>
      <w:r>
        <w:t>12. При выставлении экспертной оценки членами подкомиссии учитываются следующие факторы: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а) исходные предпосылки реализации практики и принципиальные подходы, избранные при разработке и внедрении практики;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б) реализация практики способствовала росту инвестиционной привлекательности муниципального образования, предпринимательской активности, благосостояния населения, росту налоговых и неналоговых доходов бюджета, эффективному управлению муниципальными заимствованиями;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в) уникальные преимущества и сильные стороны практики, выделяющие ее из ряда подобных;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г) алгоритмы (последовательность) действия по внедрению практики;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д) ресурсы (материальные и нематериальные средства), которые необходимы для реализации практики;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е) возможность повторения (тиражирования) практики в других муниципальных образованиях;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>ж) риски, которые необходимо принять во внимание при использовании практики.</w:t>
      </w:r>
    </w:p>
    <w:p w:rsidR="00C97833" w:rsidRDefault="00C97833">
      <w:pPr>
        <w:pStyle w:val="ConsPlusNormal"/>
        <w:spacing w:before="220"/>
        <w:ind w:firstLine="540"/>
        <w:jc w:val="both"/>
      </w:pPr>
      <w:r>
        <w:t xml:space="preserve">13. Определение победителей конкурса по номинации "Повышение эффективности управления территорией муниципального образования", среди которых распределяются первое - пятое места победителей конкурса, набравших наибольшее количество баллов в соответствии с </w:t>
      </w:r>
      <w:hyperlink w:anchor="P711">
        <w:r>
          <w:rPr>
            <w:color w:val="0000FF"/>
          </w:rPr>
          <w:t>пунктом 6</w:t>
        </w:r>
      </w:hyperlink>
      <w:r>
        <w:t xml:space="preserve"> настоящей Методики, осуществляется комиссией.</w:t>
      </w: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jc w:val="both"/>
      </w:pPr>
    </w:p>
    <w:p w:rsidR="00C97833" w:rsidRDefault="00C978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2EE8" w:rsidRDefault="00A62EE8"/>
    <w:sectPr w:rsidR="00A62EE8" w:rsidSect="002F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C97833"/>
    <w:rsid w:val="008A5054"/>
    <w:rsid w:val="00A62EE8"/>
    <w:rsid w:val="00C9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7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78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7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978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97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978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978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978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294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hyperlink" Target="https://login.consultant.ru/link/?req=doc&amp;base=LAW&amp;n=506195&amp;dst=102809" TargetMode="External"/><Relationship Id="rId39" Type="http://schemas.openxmlformats.org/officeDocument/2006/relationships/image" Target="media/image20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hyperlink" Target="https://login.consultant.ru/link/?req=doc&amp;base=LAW&amp;n=508667" TargetMode="External"/><Relationship Id="rId42" Type="http://schemas.openxmlformats.org/officeDocument/2006/relationships/image" Target="media/image23.wmf"/><Relationship Id="rId7" Type="http://schemas.openxmlformats.org/officeDocument/2006/relationships/hyperlink" Target="https://login.consultant.ru/link/?req=doc&amp;base=LAW&amp;n=360522" TargetMode="External"/><Relationship Id="rId12" Type="http://schemas.openxmlformats.org/officeDocument/2006/relationships/image" Target="media/image4.wmf"/><Relationship Id="rId17" Type="http://schemas.openxmlformats.org/officeDocument/2006/relationships/hyperlink" Target="https://login.consultant.ru/link/?req=doc&amp;base=LAW&amp;n=483130" TargetMode="External"/><Relationship Id="rId25" Type="http://schemas.openxmlformats.org/officeDocument/2006/relationships/hyperlink" Target="https://login.consultant.ru/link/?req=doc&amp;base=LAW&amp;n=506195&amp;dst=102708" TargetMode="External"/><Relationship Id="rId33" Type="http://schemas.openxmlformats.org/officeDocument/2006/relationships/hyperlink" Target="https://login.consultant.ru/link/?req=doc&amp;base=LAW&amp;n=471425" TargetMode="External"/><Relationship Id="rId38" Type="http://schemas.openxmlformats.org/officeDocument/2006/relationships/image" Target="media/image19.wmf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8374&amp;dst=300" TargetMode="External"/><Relationship Id="rId20" Type="http://schemas.openxmlformats.org/officeDocument/2006/relationships/image" Target="media/image9.wmf"/><Relationship Id="rId29" Type="http://schemas.openxmlformats.org/officeDocument/2006/relationships/hyperlink" Target="https://login.consultant.ru/link/?req=doc&amp;base=LAW&amp;n=506195&amp;dst=102809" TargetMode="External"/><Relationship Id="rId41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4023&amp;dst=766" TargetMode="External"/><Relationship Id="rId11" Type="http://schemas.openxmlformats.org/officeDocument/2006/relationships/image" Target="media/image3.wmf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image" Target="media/image18.wmf"/><Relationship Id="rId40" Type="http://schemas.openxmlformats.org/officeDocument/2006/relationships/image" Target="media/image21.wmf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5294&amp;dst=64" TargetMode="External"/><Relationship Id="rId15" Type="http://schemas.openxmlformats.org/officeDocument/2006/relationships/hyperlink" Target="https://login.consultant.ru/link/?req=doc&amp;base=LAW&amp;n=508374" TargetMode="External"/><Relationship Id="rId23" Type="http://schemas.openxmlformats.org/officeDocument/2006/relationships/image" Target="media/image12.wmf"/><Relationship Id="rId28" Type="http://schemas.openxmlformats.org/officeDocument/2006/relationships/hyperlink" Target="https://login.consultant.ru/link/?req=doc&amp;base=LAW&amp;n=506195&amp;dst=102708" TargetMode="External"/><Relationship Id="rId36" Type="http://schemas.openxmlformats.org/officeDocument/2006/relationships/hyperlink" Target="https://login.consultant.ru/link/?req=doc&amp;base=LAW&amp;n=505294&amp;dst=29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16.wmf"/><Relationship Id="rId44" Type="http://schemas.openxmlformats.org/officeDocument/2006/relationships/image" Target="media/image25.wmf"/><Relationship Id="rId4" Type="http://schemas.openxmlformats.org/officeDocument/2006/relationships/hyperlink" Target="https://www.consultant.ru" TargetMode="Externa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image" Target="media/image14.wmf"/><Relationship Id="rId30" Type="http://schemas.openxmlformats.org/officeDocument/2006/relationships/image" Target="media/image15.wmf"/><Relationship Id="rId35" Type="http://schemas.openxmlformats.org/officeDocument/2006/relationships/hyperlink" Target="https://login.consultant.ru/link/?req=doc&amp;base=LAW&amp;n=509066" TargetMode="External"/><Relationship Id="rId43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7947</Words>
  <Characters>45303</Characters>
  <Application>Microsoft Office Word</Application>
  <DocSecurity>0</DocSecurity>
  <Lines>377</Lines>
  <Paragraphs>106</Paragraphs>
  <ScaleCrop>false</ScaleCrop>
  <Company/>
  <LinksUpToDate>false</LinksUpToDate>
  <CharactersWithSpaces>53144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krotov</dc:creator>
  <cp:lastModifiedBy>krotov</cp:lastModifiedBy>
  <cp:revision>1</cp:revision>
  <dcterms:created xsi:type="dcterms:W3CDTF">2025-07-24T11:17:00Z</dcterms:created>
  <dcterms:modified xsi:type="dcterms:W3CDTF">2025-07-24T11:18:00Z</dcterms:modified>
</cp:coreProperties>
</file>